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9CA1" w14:textId="77777777" w:rsidR="00CC4E82" w:rsidRPr="00C33A90" w:rsidRDefault="00CC4E82" w:rsidP="00C33A90">
      <w:pPr>
        <w:spacing w:after="0" w:line="240" w:lineRule="auto"/>
        <w:rPr>
          <w:rFonts w:ascii="Arial" w:hAnsi="Arial" w:cs="Arial"/>
          <w:sz w:val="20"/>
          <w:szCs w:val="24"/>
        </w:rPr>
      </w:pPr>
      <w:r w:rsidRPr="00C33A90">
        <w:rPr>
          <w:rFonts w:ascii="Arial" w:hAnsi="Arial" w:cs="Arial"/>
          <w:sz w:val="20"/>
          <w:szCs w:val="24"/>
        </w:rPr>
        <w:t xml:space="preserve">Welcome to the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To download an electronic copy, please visit </w:t>
      </w:r>
      <w:hyperlink r:id="rId7" w:history="1">
        <w:r w:rsidRPr="00C33A90">
          <w:rPr>
            <w:rStyle w:val="Hyperlink"/>
            <w:rFonts w:ascii="Arial" w:hAnsi="Arial" w:cs="Arial"/>
            <w:sz w:val="20"/>
            <w:szCs w:val="24"/>
          </w:rPr>
          <w:t>www.safti.com</w:t>
        </w:r>
      </w:hyperlink>
      <w:r w:rsidRPr="00C33A90">
        <w:rPr>
          <w:rFonts w:ascii="Arial" w:hAnsi="Arial" w:cs="Arial"/>
          <w:sz w:val="20"/>
          <w:szCs w:val="24"/>
        </w:rPr>
        <w:t>.</w:t>
      </w:r>
    </w:p>
    <w:p w14:paraId="3E91B371" w14:textId="77777777" w:rsidR="00CC4E82" w:rsidRPr="00C33A90" w:rsidRDefault="009C0BCB" w:rsidP="00C33A90">
      <w:pPr>
        <w:spacing w:after="0" w:line="240" w:lineRule="auto"/>
        <w:jc w:val="center"/>
        <w:rPr>
          <w:rFonts w:ascii="Arial" w:hAnsi="Arial" w:cs="Arial"/>
          <w:b/>
          <w:sz w:val="24"/>
          <w:szCs w:val="24"/>
        </w:rPr>
      </w:pPr>
      <w:r w:rsidRPr="00C33A90">
        <w:rPr>
          <w:rFonts w:ascii="Arial" w:hAnsi="Arial" w:cs="Arial"/>
          <w:noProof/>
          <w:sz w:val="24"/>
          <w:szCs w:val="24"/>
        </w:rPr>
        <w:drawing>
          <wp:inline distT="0" distB="0" distL="0" distR="0" wp14:anchorId="2FC31DAF" wp14:editId="6B5696B7">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769DD68E" w14:textId="77777777" w:rsidR="009C0BCB" w:rsidRPr="00C33A90" w:rsidRDefault="009C0BCB" w:rsidP="00C33A90">
      <w:pPr>
        <w:spacing w:after="0" w:line="240" w:lineRule="auto"/>
        <w:jc w:val="center"/>
        <w:rPr>
          <w:rFonts w:ascii="Arial" w:hAnsi="Arial" w:cs="Arial"/>
          <w:b/>
          <w:sz w:val="24"/>
          <w:szCs w:val="24"/>
        </w:rPr>
      </w:pPr>
    </w:p>
    <w:p w14:paraId="203D03FE"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SPECIFICATION</w:t>
      </w:r>
    </w:p>
    <w:p w14:paraId="5FCEEB3B"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 xml:space="preserve">SECTION 08 </w:t>
      </w:r>
      <w:r w:rsidR="00C33A90">
        <w:rPr>
          <w:rFonts w:ascii="Arial" w:hAnsi="Arial" w:cs="Arial"/>
          <w:b/>
          <w:sz w:val="24"/>
          <w:szCs w:val="24"/>
        </w:rPr>
        <w:t>11 03</w:t>
      </w:r>
      <w:r w:rsidRPr="00C33A90">
        <w:rPr>
          <w:rFonts w:ascii="Arial" w:hAnsi="Arial" w:cs="Arial"/>
          <w:b/>
          <w:sz w:val="24"/>
          <w:szCs w:val="24"/>
        </w:rPr>
        <w:t xml:space="preserve">: </w:t>
      </w:r>
      <w:r w:rsidR="00C33A90">
        <w:rPr>
          <w:rFonts w:ascii="Arial" w:hAnsi="Arial" w:cs="Arial"/>
          <w:b/>
          <w:sz w:val="24"/>
          <w:szCs w:val="24"/>
        </w:rPr>
        <w:t>HOLLOW METAL DOORS AND FRAMES</w:t>
      </w:r>
    </w:p>
    <w:p w14:paraId="20232CF9"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GPX</w:t>
      </w:r>
      <w:r w:rsidRPr="00C33A90">
        <w:rPr>
          <w:rFonts w:ascii="Arial" w:hAnsi="Arial" w:cs="Arial"/>
          <w:b/>
          <w:sz w:val="24"/>
          <w:szCs w:val="24"/>
          <w:vertAlign w:val="superscript"/>
        </w:rPr>
        <w:t>®</w:t>
      </w:r>
      <w:r w:rsidRPr="00C33A90">
        <w:rPr>
          <w:rFonts w:ascii="Arial" w:hAnsi="Arial" w:cs="Arial"/>
          <w:b/>
          <w:sz w:val="24"/>
          <w:szCs w:val="24"/>
        </w:rPr>
        <w:t xml:space="preserve"> Builders Series Fire Protective</w:t>
      </w:r>
    </w:p>
    <w:p w14:paraId="00810D93" w14:textId="77777777" w:rsidR="00CC4E82" w:rsidRPr="00C33A90" w:rsidRDefault="00CC4E82" w:rsidP="00C33A90">
      <w:pPr>
        <w:spacing w:after="0" w:line="240" w:lineRule="auto"/>
        <w:rPr>
          <w:rFonts w:ascii="Arial" w:hAnsi="Arial" w:cs="Arial"/>
          <w:b/>
          <w:sz w:val="24"/>
          <w:szCs w:val="24"/>
        </w:rPr>
      </w:pPr>
    </w:p>
    <w:p w14:paraId="71F26DF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1 GENERAL</w:t>
      </w:r>
    </w:p>
    <w:p w14:paraId="7C713AA0" w14:textId="77777777" w:rsidR="00CC4E82" w:rsidRPr="00C33A90" w:rsidRDefault="00CC4E82" w:rsidP="00C33A90">
      <w:pPr>
        <w:spacing w:after="0" w:line="240" w:lineRule="auto"/>
        <w:rPr>
          <w:rFonts w:ascii="Arial" w:hAnsi="Arial" w:cs="Arial"/>
          <w:sz w:val="24"/>
          <w:szCs w:val="24"/>
        </w:rPr>
      </w:pPr>
    </w:p>
    <w:p w14:paraId="1EE303CA"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1.01</w:t>
      </w:r>
      <w:r w:rsidRPr="00C33A90">
        <w:rPr>
          <w:rFonts w:ascii="Arial" w:hAnsi="Arial" w:cs="Arial"/>
          <w:sz w:val="24"/>
          <w:szCs w:val="24"/>
          <w:u w:val="single"/>
        </w:rPr>
        <w:tab/>
        <w:t>SUMMARY</w:t>
      </w:r>
    </w:p>
    <w:p w14:paraId="06151302" w14:textId="77777777" w:rsidR="00CC4E82" w:rsidRPr="00C33A90" w:rsidRDefault="00CC4E82" w:rsidP="00C33A90">
      <w:pPr>
        <w:spacing w:after="0" w:line="240" w:lineRule="auto"/>
        <w:rPr>
          <w:rFonts w:ascii="Arial" w:hAnsi="Arial" w:cs="Arial"/>
          <w:sz w:val="24"/>
          <w:szCs w:val="24"/>
        </w:rPr>
      </w:pPr>
    </w:p>
    <w:p w14:paraId="7186F72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Section Includes: Fire protective framing system.</w:t>
      </w:r>
    </w:p>
    <w:p w14:paraId="61C4CC04"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GPX</w:t>
      </w:r>
      <w:r w:rsidRPr="00C33A90">
        <w:rPr>
          <w:rFonts w:ascii="Arial" w:hAnsi="Arial" w:cs="Arial"/>
          <w:b/>
          <w:sz w:val="24"/>
          <w:szCs w:val="24"/>
          <w:vertAlign w:val="superscript"/>
        </w:rPr>
        <w:t>®</w:t>
      </w:r>
      <w:r w:rsidRPr="00C33A90">
        <w:rPr>
          <w:rFonts w:ascii="Arial" w:hAnsi="Arial" w:cs="Arial"/>
          <w:sz w:val="24"/>
          <w:szCs w:val="24"/>
        </w:rPr>
        <w:t xml:space="preserve"> Builders Series Fire Protective 20-45 minute fire protective doors and openings for interior and exterior applications.</w:t>
      </w:r>
    </w:p>
    <w:p w14:paraId="55D3937D"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Applications of fire protective framing includes:</w:t>
      </w:r>
    </w:p>
    <w:p w14:paraId="30CDFAAD" w14:textId="77777777" w:rsidR="00CC4E82" w:rsidRPr="00C33A90" w:rsidRDefault="00CC4E82" w:rsidP="00C33A90">
      <w:pPr>
        <w:pStyle w:val="ListParagraph"/>
        <w:numPr>
          <w:ilvl w:val="1"/>
          <w:numId w:val="4"/>
        </w:numPr>
        <w:spacing w:after="0" w:line="240" w:lineRule="auto"/>
        <w:rPr>
          <w:rFonts w:ascii="Arial" w:hAnsi="Arial" w:cs="Arial"/>
          <w:sz w:val="24"/>
          <w:szCs w:val="24"/>
        </w:rPr>
      </w:pPr>
      <w:r w:rsidRPr="00C33A90">
        <w:rPr>
          <w:rFonts w:ascii="Arial" w:hAnsi="Arial" w:cs="Arial"/>
          <w:sz w:val="24"/>
          <w:szCs w:val="24"/>
        </w:rPr>
        <w:t>Vision lites in fire protective doors, fire protective openings, fire protective sidelites, borrowed lites, and transoms with fire rating requirements as specified.</w:t>
      </w:r>
    </w:p>
    <w:p w14:paraId="691697A3" w14:textId="77777777" w:rsidR="00CC4E82" w:rsidRPr="00C33A90" w:rsidRDefault="00CC4E82" w:rsidP="00C33A90">
      <w:pPr>
        <w:spacing w:after="0" w:line="240" w:lineRule="auto"/>
        <w:rPr>
          <w:rFonts w:ascii="Arial" w:hAnsi="Arial" w:cs="Arial"/>
          <w:sz w:val="24"/>
          <w:szCs w:val="24"/>
        </w:rPr>
      </w:pPr>
    </w:p>
    <w:p w14:paraId="22C42B6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Related Sections:</w:t>
      </w:r>
    </w:p>
    <w:p w14:paraId="5AC29497" w14:textId="32F07270" w:rsidR="00CC4E82" w:rsidRPr="00C33A90"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 xml:space="preserve">Section </w:t>
      </w:r>
      <w:bookmarkStart w:id="0" w:name="_GoBack"/>
      <w:r w:rsidRPr="00C33A90">
        <w:rPr>
          <w:rFonts w:ascii="Arial" w:hAnsi="Arial" w:cs="Arial"/>
          <w:sz w:val="24"/>
          <w:szCs w:val="24"/>
        </w:rPr>
        <w:t>01 33</w:t>
      </w:r>
      <w:r w:rsidR="005D7946">
        <w:rPr>
          <w:rFonts w:ascii="Arial" w:hAnsi="Arial" w:cs="Arial"/>
          <w:sz w:val="24"/>
          <w:szCs w:val="24"/>
        </w:rPr>
        <w:t xml:space="preserve"> </w:t>
      </w:r>
      <w:r w:rsidRPr="00C33A90">
        <w:rPr>
          <w:rFonts w:ascii="Arial" w:hAnsi="Arial" w:cs="Arial"/>
          <w:sz w:val="24"/>
          <w:szCs w:val="24"/>
        </w:rPr>
        <w:t>23: Shop Dra</w:t>
      </w:r>
      <w:r w:rsidR="009355C0">
        <w:rPr>
          <w:rFonts w:ascii="Arial" w:hAnsi="Arial" w:cs="Arial"/>
          <w:sz w:val="24"/>
          <w:szCs w:val="24"/>
        </w:rPr>
        <w:t>wings, Product Data and Samples</w:t>
      </w:r>
    </w:p>
    <w:p w14:paraId="75CB5432" w14:textId="09435DB7" w:rsidR="00CC4E82" w:rsidRDefault="009355C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80</w:t>
      </w:r>
      <w:r w:rsidR="005D7946">
        <w:rPr>
          <w:rFonts w:ascii="Arial" w:hAnsi="Arial" w:cs="Arial"/>
          <w:sz w:val="24"/>
          <w:szCs w:val="24"/>
        </w:rPr>
        <w:t xml:space="preserve"> </w:t>
      </w:r>
      <w:r>
        <w:rPr>
          <w:rFonts w:ascii="Arial" w:hAnsi="Arial" w:cs="Arial"/>
          <w:sz w:val="24"/>
          <w:szCs w:val="24"/>
        </w:rPr>
        <w:t>00: Glazing</w:t>
      </w:r>
    </w:p>
    <w:p w14:paraId="1469FF39" w14:textId="2E60AA64"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Section </w:t>
      </w:r>
      <w:r w:rsidR="005D7946">
        <w:rPr>
          <w:rFonts w:ascii="Arial" w:hAnsi="Arial" w:cs="Arial"/>
          <w:sz w:val="24"/>
          <w:szCs w:val="24"/>
        </w:rPr>
        <w:t xml:space="preserve">08 </w:t>
      </w:r>
      <w:r>
        <w:rPr>
          <w:rFonts w:ascii="Arial" w:hAnsi="Arial" w:cs="Arial"/>
          <w:sz w:val="24"/>
          <w:szCs w:val="24"/>
        </w:rPr>
        <w:t>88 00: Special Function Glazing</w:t>
      </w:r>
    </w:p>
    <w:p w14:paraId="4170E754"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14:paraId="23674F25"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D53F8CF" w14:textId="77777777" w:rsidR="00C33A90" w:rsidRP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71 00: Door Hardware</w:t>
      </w:r>
    </w:p>
    <w:bookmarkEnd w:id="0"/>
    <w:p w14:paraId="297D0A26" w14:textId="77777777" w:rsidR="00CC4E82" w:rsidRPr="00C33A90" w:rsidRDefault="00CC4E82" w:rsidP="00C33A90">
      <w:pPr>
        <w:spacing w:after="0" w:line="240" w:lineRule="auto"/>
        <w:rPr>
          <w:rFonts w:ascii="Arial" w:hAnsi="Arial" w:cs="Arial"/>
          <w:sz w:val="24"/>
          <w:szCs w:val="24"/>
        </w:rPr>
      </w:pPr>
    </w:p>
    <w:p w14:paraId="3CFB0B54" w14:textId="77777777" w:rsidR="00F009C5" w:rsidRPr="00C33A90" w:rsidRDefault="00F009C5" w:rsidP="00C33A90">
      <w:pPr>
        <w:spacing w:after="0" w:line="240" w:lineRule="auto"/>
        <w:rPr>
          <w:rFonts w:ascii="Arial" w:hAnsi="Arial" w:cs="Arial"/>
          <w:sz w:val="24"/>
          <w:szCs w:val="24"/>
        </w:rPr>
      </w:pPr>
    </w:p>
    <w:p w14:paraId="05EE5FD9"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1.02</w:t>
      </w:r>
      <w:r w:rsidRPr="00C33A90">
        <w:rPr>
          <w:rFonts w:ascii="Arial" w:hAnsi="Arial" w:cs="Arial"/>
          <w:sz w:val="24"/>
          <w:szCs w:val="24"/>
          <w:u w:val="single"/>
        </w:rPr>
        <w:tab/>
        <w:t>REFERENCES</w:t>
      </w:r>
    </w:p>
    <w:p w14:paraId="24DFC281" w14:textId="77777777" w:rsidR="00CC4E82" w:rsidRPr="00C33A90" w:rsidRDefault="00CC4E82" w:rsidP="00C33A90">
      <w:pPr>
        <w:spacing w:after="0" w:line="240" w:lineRule="auto"/>
        <w:rPr>
          <w:rFonts w:ascii="Arial" w:hAnsi="Arial" w:cs="Arial"/>
          <w:sz w:val="24"/>
          <w:szCs w:val="24"/>
        </w:rPr>
      </w:pPr>
    </w:p>
    <w:p w14:paraId="37358AF5"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American Society for Testing and Materials (ASTM):</w:t>
      </w:r>
    </w:p>
    <w:p w14:paraId="1C20A668"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E152: Methods of Fire Tests of Door Assemblies.</w:t>
      </w:r>
    </w:p>
    <w:p w14:paraId="2B9CAF9C"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E163: Methods for Fire Tests of Window Assemblies.</w:t>
      </w:r>
    </w:p>
    <w:p w14:paraId="3509C69E"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E2074: Standard Test Method for Fire Tests of Door Assemblies, including Positive Pressure Testing of Side-hinged and Pivoted Swinging Door Assemblies.</w:t>
      </w:r>
    </w:p>
    <w:p w14:paraId="53157829"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E2010-1: Standard Test for Positive Pressure of Fire Tests of Window Assemblies.</w:t>
      </w:r>
    </w:p>
    <w:p w14:paraId="79AF91C9" w14:textId="77777777" w:rsidR="00CC4E82" w:rsidRPr="00C33A90" w:rsidRDefault="00CC4E82" w:rsidP="00C33A90">
      <w:pPr>
        <w:spacing w:after="0" w:line="240" w:lineRule="auto"/>
        <w:rPr>
          <w:rFonts w:ascii="Arial" w:hAnsi="Arial" w:cs="Arial"/>
          <w:sz w:val="24"/>
          <w:szCs w:val="24"/>
        </w:rPr>
      </w:pPr>
    </w:p>
    <w:p w14:paraId="5F78C48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National Fire Protection Association (NFPA):</w:t>
      </w:r>
    </w:p>
    <w:p w14:paraId="371765B3"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80: Fire Doors and Windows.</w:t>
      </w:r>
    </w:p>
    <w:p w14:paraId="17A55FE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252: Fire Tests of Door Assemblies.</w:t>
      </w:r>
    </w:p>
    <w:p w14:paraId="3E5C7BD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lastRenderedPageBreak/>
        <w:t>NFPA 257: Fire Tests of Window Assemblies.</w:t>
      </w:r>
    </w:p>
    <w:p w14:paraId="7D075139" w14:textId="77777777" w:rsidR="00CC4E82" w:rsidRPr="00C33A90" w:rsidRDefault="00CC4E82" w:rsidP="00C33A90">
      <w:pPr>
        <w:spacing w:after="0" w:line="240" w:lineRule="auto"/>
        <w:rPr>
          <w:rFonts w:ascii="Arial" w:hAnsi="Arial" w:cs="Arial"/>
          <w:sz w:val="24"/>
          <w:szCs w:val="24"/>
        </w:rPr>
      </w:pPr>
    </w:p>
    <w:p w14:paraId="1CC3F66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C.    Underwriters Laboratories, Inc. (UL):</w:t>
      </w:r>
    </w:p>
    <w:p w14:paraId="24D0F9FB"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9: Standard for Safety of Fire Tests of Window Assemblies.</w:t>
      </w:r>
    </w:p>
    <w:p w14:paraId="0012D1E0"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B: Standard for Safety of Fire Tests of Door Assemblies.</w:t>
      </w:r>
    </w:p>
    <w:p w14:paraId="6D0A40FC"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C: Standard for Safety of Positive Pressure Fire Tests of Door Assemblies.</w:t>
      </w:r>
    </w:p>
    <w:p w14:paraId="3D6BEFBF" w14:textId="77777777" w:rsidR="00CC4E82" w:rsidRPr="00C33A90" w:rsidRDefault="00CC4E82" w:rsidP="00C33A90">
      <w:pPr>
        <w:spacing w:after="0" w:line="240" w:lineRule="auto"/>
        <w:rPr>
          <w:rFonts w:ascii="Arial" w:hAnsi="Arial" w:cs="Arial"/>
          <w:sz w:val="24"/>
          <w:szCs w:val="24"/>
        </w:rPr>
      </w:pPr>
    </w:p>
    <w:p w14:paraId="70D93EB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D.    Standard Council of Canada (ULC):</w:t>
      </w:r>
    </w:p>
    <w:p w14:paraId="5948B605"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CAN4-S104: Fire Tests of Door Assemblies.</w:t>
      </w:r>
    </w:p>
    <w:p w14:paraId="557BC43E"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CAN4-S106: Fire Tests of Window Assemblies.</w:t>
      </w:r>
    </w:p>
    <w:p w14:paraId="082463FB"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771C456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E.   Consumer Product Safety Commission (CPSC):</w:t>
      </w:r>
    </w:p>
    <w:p w14:paraId="129FB3F3" w14:textId="77777777" w:rsidR="00CC4E82" w:rsidRPr="00C33A90" w:rsidRDefault="00CC4E82" w:rsidP="00C33A90">
      <w:pPr>
        <w:pStyle w:val="ListParagraph"/>
        <w:numPr>
          <w:ilvl w:val="0"/>
          <w:numId w:val="10"/>
        </w:numPr>
        <w:spacing w:after="0" w:line="240" w:lineRule="auto"/>
        <w:rPr>
          <w:rFonts w:ascii="Arial" w:hAnsi="Arial" w:cs="Arial"/>
          <w:sz w:val="24"/>
          <w:szCs w:val="24"/>
        </w:rPr>
      </w:pPr>
      <w:r w:rsidRPr="00C33A90">
        <w:rPr>
          <w:rFonts w:ascii="Arial" w:hAnsi="Arial" w:cs="Arial"/>
          <w:sz w:val="24"/>
          <w:szCs w:val="24"/>
        </w:rPr>
        <w:t>CPSC 16 CFR 1201: Safety Standard for Architectural Glazing Materials.</w:t>
      </w:r>
    </w:p>
    <w:p w14:paraId="13C72CD9" w14:textId="77777777" w:rsidR="00CC4E82" w:rsidRPr="00C33A90" w:rsidRDefault="00CC4E82" w:rsidP="00C33A90">
      <w:pPr>
        <w:spacing w:after="0" w:line="240" w:lineRule="auto"/>
        <w:rPr>
          <w:rFonts w:ascii="Arial" w:hAnsi="Arial" w:cs="Arial"/>
          <w:sz w:val="24"/>
          <w:szCs w:val="24"/>
        </w:rPr>
      </w:pPr>
    </w:p>
    <w:p w14:paraId="5B1043D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F.   American National Standards Institute (ANSI):</w:t>
      </w:r>
    </w:p>
    <w:p w14:paraId="1A06919A" w14:textId="77777777" w:rsidR="00CC4E82" w:rsidRPr="00C33A90" w:rsidRDefault="00CC4E82" w:rsidP="00C33A90">
      <w:pPr>
        <w:pStyle w:val="ListParagraph"/>
        <w:numPr>
          <w:ilvl w:val="0"/>
          <w:numId w:val="11"/>
        </w:numPr>
        <w:spacing w:after="0" w:line="240" w:lineRule="auto"/>
        <w:rPr>
          <w:rFonts w:ascii="Arial" w:hAnsi="Arial" w:cs="Arial"/>
          <w:sz w:val="24"/>
          <w:szCs w:val="24"/>
        </w:rPr>
      </w:pPr>
      <w:r w:rsidRPr="00C33A90">
        <w:rPr>
          <w:rFonts w:ascii="Arial" w:hAnsi="Arial" w:cs="Arial"/>
          <w:sz w:val="24"/>
          <w:szCs w:val="24"/>
        </w:rPr>
        <w:t>ANSI Z97.1: Safety Glazing Materials Used in Buildings - Safety Performance Specifications and Methods of Test.</w:t>
      </w:r>
    </w:p>
    <w:p w14:paraId="090C9146" w14:textId="77777777" w:rsidR="00CC4E82" w:rsidRPr="00C33A90" w:rsidRDefault="00CC4E82" w:rsidP="00C33A90">
      <w:pPr>
        <w:spacing w:after="0" w:line="240" w:lineRule="auto"/>
        <w:rPr>
          <w:rFonts w:ascii="Arial" w:hAnsi="Arial" w:cs="Arial"/>
          <w:sz w:val="24"/>
          <w:szCs w:val="24"/>
        </w:rPr>
      </w:pPr>
    </w:p>
    <w:p w14:paraId="422DD31E" w14:textId="77777777" w:rsidR="00F009C5" w:rsidRPr="00C33A90" w:rsidRDefault="00F009C5" w:rsidP="00C33A90">
      <w:pPr>
        <w:spacing w:after="0" w:line="240" w:lineRule="auto"/>
        <w:rPr>
          <w:rFonts w:ascii="Arial" w:hAnsi="Arial" w:cs="Arial"/>
          <w:sz w:val="24"/>
          <w:szCs w:val="24"/>
        </w:rPr>
      </w:pPr>
    </w:p>
    <w:p w14:paraId="7308F193"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G.   Glass Association of North America (GANA)</w:t>
      </w:r>
    </w:p>
    <w:p w14:paraId="39287FC6"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GANA – Glazing Manual.</w:t>
      </w:r>
    </w:p>
    <w:p w14:paraId="61BAB402"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FGMA – Sealant Manual.</w:t>
      </w:r>
    </w:p>
    <w:p w14:paraId="52988BD7" w14:textId="77777777" w:rsidR="00CC4E82" w:rsidRPr="00C33A90" w:rsidRDefault="00CC4E82" w:rsidP="00C33A90">
      <w:pPr>
        <w:spacing w:after="0" w:line="240" w:lineRule="auto"/>
        <w:rPr>
          <w:rFonts w:ascii="Arial" w:hAnsi="Arial" w:cs="Arial"/>
          <w:sz w:val="24"/>
          <w:szCs w:val="24"/>
        </w:rPr>
      </w:pPr>
    </w:p>
    <w:p w14:paraId="41398C26"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H.   [American Recovery and Reinvestment Act</w:t>
      </w:r>
    </w:p>
    <w:p w14:paraId="57C26DDD" w14:textId="77777777" w:rsidR="00CC4E82" w:rsidRPr="00C33A90" w:rsidRDefault="00CC4E82" w:rsidP="00C33A90">
      <w:pPr>
        <w:pStyle w:val="ListParagraph"/>
        <w:numPr>
          <w:ilvl w:val="0"/>
          <w:numId w:val="13"/>
        </w:numPr>
        <w:spacing w:after="0" w:line="240" w:lineRule="auto"/>
        <w:rPr>
          <w:rFonts w:ascii="Arial" w:hAnsi="Arial" w:cs="Arial"/>
          <w:sz w:val="24"/>
          <w:szCs w:val="24"/>
        </w:rPr>
      </w:pPr>
      <w:r w:rsidRPr="00C33A90">
        <w:rPr>
          <w:rFonts w:ascii="Arial" w:hAnsi="Arial" w:cs="Arial"/>
          <w:sz w:val="24"/>
          <w:szCs w:val="24"/>
        </w:rPr>
        <w:t>Section 1605, Title XVI Buy American Provision]</w:t>
      </w:r>
    </w:p>
    <w:p w14:paraId="58FD8BE1" w14:textId="77777777" w:rsidR="00CC4E82" w:rsidRPr="00C33A90" w:rsidRDefault="00CC4E82" w:rsidP="00C33A90">
      <w:pPr>
        <w:spacing w:after="0" w:line="240" w:lineRule="auto"/>
        <w:rPr>
          <w:rFonts w:ascii="Arial" w:hAnsi="Arial" w:cs="Arial"/>
          <w:sz w:val="24"/>
          <w:szCs w:val="24"/>
        </w:rPr>
      </w:pPr>
    </w:p>
    <w:p w14:paraId="11EC135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I.   [Insert building code used by Authority Having Jurisdiction]</w:t>
      </w:r>
    </w:p>
    <w:p w14:paraId="28AF2AA7" w14:textId="77777777" w:rsidR="00CC4E82" w:rsidRPr="00C33A90" w:rsidRDefault="00CC4E82" w:rsidP="00C33A90">
      <w:pPr>
        <w:spacing w:after="0" w:line="240" w:lineRule="auto"/>
        <w:rPr>
          <w:rFonts w:ascii="Arial" w:hAnsi="Arial" w:cs="Arial"/>
          <w:sz w:val="24"/>
          <w:szCs w:val="24"/>
        </w:rPr>
      </w:pPr>
    </w:p>
    <w:p w14:paraId="6304230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1.03</w:t>
      </w:r>
      <w:r w:rsidRPr="00C33A90">
        <w:rPr>
          <w:rFonts w:ascii="Arial" w:hAnsi="Arial" w:cs="Arial"/>
          <w:sz w:val="24"/>
          <w:szCs w:val="24"/>
          <w:u w:val="single"/>
        </w:rPr>
        <w:tab/>
        <w:t>SYSTEM DESCRIPTION</w:t>
      </w:r>
    </w:p>
    <w:p w14:paraId="30C0C5FF" w14:textId="77777777" w:rsidR="00CC4E82" w:rsidRPr="00C33A90" w:rsidRDefault="00CC4E82" w:rsidP="00C33A90">
      <w:pPr>
        <w:spacing w:after="0" w:line="240" w:lineRule="auto"/>
        <w:rPr>
          <w:rFonts w:ascii="Arial" w:hAnsi="Arial" w:cs="Arial"/>
          <w:sz w:val="24"/>
          <w:szCs w:val="24"/>
        </w:rPr>
      </w:pPr>
    </w:p>
    <w:p w14:paraId="6E78842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Performance Requirements:</w:t>
      </w:r>
    </w:p>
    <w:p w14:paraId="2073A990"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Fire Rating: must meet 20 or 45 minutes for fire protective doors and openings as specified.</w:t>
      </w:r>
    </w:p>
    <w:p w14:paraId="103CAC7E"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Window Certifications: Window assemblies with ratings of less than 60 minutes may be tested in accordance with ASTM E2010-01, NFPA 80, NFPA 257, UL 9, CAN4-S106.</w:t>
      </w:r>
    </w:p>
    <w:p w14:paraId="02B21393"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Door Certifications: Doors shall be tested in accordance with ASTM E2074-00, NFPA 80, NFPA 252, UL 10C, 10C, or CAN4-S104.</w:t>
      </w:r>
    </w:p>
    <w:p w14:paraId="04A5B1EB"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Testing Laboratory: Fire test must be conducted by a nationally recognized independent testing laboratory.</w:t>
      </w:r>
    </w:p>
    <w:p w14:paraId="63A72ABC"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Glazing: Must use fire protective glazing less than 60 minutes up to the max. size tested. All glazing used in doors, sidelites and other hazardous locations must meet CPSC Cat. I or II impact safety.</w:t>
      </w:r>
    </w:p>
    <w:p w14:paraId="1F1F5F22"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Max. Door Opening Sizes: must meet maximum sizes of 54 in. x 120 in. for single doors and 108 in. x 120 in. for pair doors. No intermediate rails required. For max. door sizes, continuous hinges may be required.</w:t>
      </w:r>
    </w:p>
    <w:p w14:paraId="119154AD" w14:textId="77777777" w:rsidR="00CC4E82" w:rsidRPr="00C33A90" w:rsidRDefault="00CC4E82" w:rsidP="00C33A90">
      <w:pPr>
        <w:spacing w:after="0" w:line="240" w:lineRule="auto"/>
        <w:rPr>
          <w:rFonts w:ascii="Arial" w:hAnsi="Arial" w:cs="Arial"/>
          <w:sz w:val="24"/>
          <w:szCs w:val="24"/>
        </w:rPr>
      </w:pPr>
    </w:p>
    <w:p w14:paraId="0F6A229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Listings and Labels:</w:t>
      </w:r>
    </w:p>
    <w:p w14:paraId="75BE38CC" w14:textId="77777777" w:rsidR="00CC4E82" w:rsidRPr="00C33A90" w:rsidRDefault="00CC4E82" w:rsidP="00C33A90">
      <w:pPr>
        <w:pStyle w:val="ListParagraph"/>
        <w:numPr>
          <w:ilvl w:val="0"/>
          <w:numId w:val="15"/>
        </w:numPr>
        <w:spacing w:after="0" w:line="240" w:lineRule="auto"/>
        <w:rPr>
          <w:rFonts w:ascii="Arial" w:hAnsi="Arial" w:cs="Arial"/>
          <w:sz w:val="24"/>
          <w:szCs w:val="24"/>
        </w:rPr>
      </w:pPr>
      <w:r w:rsidRPr="00C33A90">
        <w:rPr>
          <w:rFonts w:ascii="Arial" w:hAnsi="Arial" w:cs="Arial"/>
          <w:sz w:val="24"/>
          <w:szCs w:val="24"/>
        </w:rPr>
        <w:t>Fire rated framing system shall be under current follow-up service by a nationally recognized independent testing laboratory approved by OSHA and maintain a current listing or certification. Assemblies shall be labeled in accordance with limits of listings.</w:t>
      </w:r>
    </w:p>
    <w:p w14:paraId="1D95D58F" w14:textId="77777777" w:rsidR="00CC4E82" w:rsidRPr="00C33A90" w:rsidRDefault="00CC4E82" w:rsidP="00C33A90">
      <w:pPr>
        <w:spacing w:after="0" w:line="240" w:lineRule="auto"/>
        <w:rPr>
          <w:rFonts w:ascii="Arial" w:hAnsi="Arial" w:cs="Arial"/>
          <w:sz w:val="24"/>
          <w:szCs w:val="24"/>
        </w:rPr>
      </w:pPr>
    </w:p>
    <w:p w14:paraId="182E94B6"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1.04</w:t>
      </w:r>
      <w:r w:rsidRPr="00C33A90">
        <w:rPr>
          <w:rFonts w:ascii="Arial" w:hAnsi="Arial" w:cs="Arial"/>
          <w:sz w:val="24"/>
          <w:szCs w:val="24"/>
          <w:u w:val="single"/>
        </w:rPr>
        <w:tab/>
        <w:t>SUBMITTALS</w:t>
      </w:r>
    </w:p>
    <w:p w14:paraId="4E0BC1B7" w14:textId="77777777" w:rsidR="00CC4E82" w:rsidRPr="00C33A90" w:rsidRDefault="00CC4E82" w:rsidP="00C33A90">
      <w:pPr>
        <w:spacing w:after="0" w:line="240" w:lineRule="auto"/>
        <w:rPr>
          <w:rFonts w:ascii="Arial" w:hAnsi="Arial" w:cs="Arial"/>
          <w:sz w:val="24"/>
          <w:szCs w:val="24"/>
        </w:rPr>
      </w:pPr>
    </w:p>
    <w:p w14:paraId="34135AC7" w14:textId="77777777" w:rsidR="00CC4E82" w:rsidRPr="00C33A90" w:rsidRDefault="00CC4E82" w:rsidP="00C33A90">
      <w:pPr>
        <w:pStyle w:val="ListParagraph"/>
        <w:numPr>
          <w:ilvl w:val="0"/>
          <w:numId w:val="16"/>
        </w:numPr>
        <w:spacing w:after="0" w:line="240" w:lineRule="auto"/>
        <w:rPr>
          <w:rFonts w:ascii="Arial" w:hAnsi="Arial" w:cs="Arial"/>
          <w:sz w:val="24"/>
          <w:szCs w:val="24"/>
        </w:rPr>
      </w:pPr>
      <w:r w:rsidRPr="00C33A90">
        <w:rPr>
          <w:rFonts w:ascii="Arial" w:hAnsi="Arial" w:cs="Arial"/>
          <w:sz w:val="24"/>
          <w:szCs w:val="24"/>
        </w:rPr>
        <w:t>Submit listed submittals in accordance with Conditions of the Contract and Division 1 Submittal Procedure Section.</w:t>
      </w:r>
    </w:p>
    <w:p w14:paraId="658E6134"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Shop Drawings: Submit shop drawings showing layout, profiles and product components.</w:t>
      </w:r>
    </w:p>
    <w:p w14:paraId="2233EAB9"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Samples: Submit samples for finishes, colors and textures.</w:t>
      </w:r>
    </w:p>
    <w:p w14:paraId="3CC08516"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Technical Information: Submit latest edition of manufacturer’s product data.</w:t>
      </w:r>
    </w:p>
    <w:p w14:paraId="40BE7A94" w14:textId="77777777" w:rsidR="00CC4E82" w:rsidRPr="00C33A90" w:rsidRDefault="00CC4E82" w:rsidP="00C33A90">
      <w:pPr>
        <w:spacing w:after="0" w:line="240" w:lineRule="auto"/>
        <w:ind w:firstLine="60"/>
        <w:rPr>
          <w:rFonts w:ascii="Arial" w:hAnsi="Arial" w:cs="Arial"/>
          <w:sz w:val="24"/>
          <w:szCs w:val="24"/>
        </w:rPr>
      </w:pPr>
    </w:p>
    <w:p w14:paraId="66715495"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1.05</w:t>
      </w:r>
      <w:r w:rsidRPr="00C33A90">
        <w:rPr>
          <w:rFonts w:ascii="Arial" w:hAnsi="Arial" w:cs="Arial"/>
          <w:sz w:val="24"/>
          <w:szCs w:val="24"/>
          <w:u w:val="single"/>
        </w:rPr>
        <w:tab/>
        <w:t>DELIVERY, STORAGE AND HANDLING</w:t>
      </w:r>
    </w:p>
    <w:p w14:paraId="24C6C9A6" w14:textId="77777777" w:rsidR="00CC4E82" w:rsidRPr="00C33A90" w:rsidRDefault="00CC4E82" w:rsidP="00C33A90">
      <w:pPr>
        <w:spacing w:after="0" w:line="240" w:lineRule="auto"/>
        <w:rPr>
          <w:rFonts w:ascii="Arial" w:hAnsi="Arial" w:cs="Arial"/>
          <w:sz w:val="24"/>
          <w:szCs w:val="24"/>
        </w:rPr>
      </w:pPr>
    </w:p>
    <w:p w14:paraId="79329FE5"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General: Comply with Division 1 Product Requirements Sections.</w:t>
      </w:r>
    </w:p>
    <w:p w14:paraId="262D160B" w14:textId="77777777" w:rsidR="00CC4E82" w:rsidRPr="00C33A90" w:rsidRDefault="00CC4E82" w:rsidP="00C33A90">
      <w:pPr>
        <w:spacing w:after="0" w:line="240" w:lineRule="auto"/>
        <w:rPr>
          <w:rFonts w:ascii="Arial" w:hAnsi="Arial" w:cs="Arial"/>
          <w:sz w:val="24"/>
          <w:szCs w:val="24"/>
        </w:rPr>
      </w:pPr>
    </w:p>
    <w:p w14:paraId="2AB37598"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Ordering: Comply with manufacturer’s ordering instructions and lead-time requirements to avoid construction delays.</w:t>
      </w:r>
    </w:p>
    <w:p w14:paraId="41B31AA4" w14:textId="77777777" w:rsidR="00CC4E82" w:rsidRPr="00C33A90" w:rsidRDefault="00CC4E82" w:rsidP="00C33A90">
      <w:pPr>
        <w:spacing w:after="0" w:line="240" w:lineRule="auto"/>
        <w:rPr>
          <w:rFonts w:ascii="Arial" w:hAnsi="Arial" w:cs="Arial"/>
          <w:sz w:val="24"/>
          <w:szCs w:val="24"/>
        </w:rPr>
      </w:pPr>
    </w:p>
    <w:p w14:paraId="0F11D7ED"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Delivery: Deliver materials to specified destinations in manufacturer’s or distributor’s packaging undamaged, complete with installation instructions.</w:t>
      </w:r>
    </w:p>
    <w:p w14:paraId="3A956A7A" w14:textId="77777777" w:rsidR="00CC4E82" w:rsidRPr="00C33A90" w:rsidRDefault="00CC4E82" w:rsidP="00C33A90">
      <w:pPr>
        <w:spacing w:after="0" w:line="240" w:lineRule="auto"/>
        <w:rPr>
          <w:rFonts w:ascii="Arial" w:hAnsi="Arial" w:cs="Arial"/>
          <w:sz w:val="24"/>
          <w:szCs w:val="24"/>
        </w:rPr>
      </w:pPr>
    </w:p>
    <w:p w14:paraId="112299D3"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Storage and Protection: Store off ground, under cover, protected from weather and construction activities and at temperature conditions recommended by manufacturer.</w:t>
      </w:r>
    </w:p>
    <w:p w14:paraId="7773DC69" w14:textId="77777777" w:rsidR="00CC4E82" w:rsidRPr="00C33A90" w:rsidRDefault="00CC4E82" w:rsidP="00C33A90">
      <w:pPr>
        <w:spacing w:after="0" w:line="240" w:lineRule="auto"/>
        <w:rPr>
          <w:rFonts w:ascii="Arial" w:hAnsi="Arial" w:cs="Arial"/>
          <w:sz w:val="24"/>
          <w:szCs w:val="24"/>
        </w:rPr>
      </w:pPr>
    </w:p>
    <w:p w14:paraId="32DBA12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1.06</w:t>
      </w:r>
      <w:r w:rsidRPr="00C33A90">
        <w:rPr>
          <w:rFonts w:ascii="Arial" w:hAnsi="Arial" w:cs="Arial"/>
          <w:sz w:val="24"/>
          <w:szCs w:val="24"/>
          <w:u w:val="single"/>
        </w:rPr>
        <w:tab/>
        <w:t>FABRICATION DIMENSIONS</w:t>
      </w:r>
    </w:p>
    <w:p w14:paraId="2EC23C7F" w14:textId="77777777" w:rsidR="00CC4E82" w:rsidRPr="00C33A90" w:rsidRDefault="00CC4E82" w:rsidP="00C33A90">
      <w:pPr>
        <w:spacing w:after="0" w:line="240" w:lineRule="auto"/>
        <w:rPr>
          <w:rFonts w:ascii="Arial" w:hAnsi="Arial" w:cs="Arial"/>
          <w:sz w:val="24"/>
          <w:szCs w:val="24"/>
        </w:rPr>
      </w:pPr>
    </w:p>
    <w:p w14:paraId="6C979A1E" w14:textId="77777777" w:rsidR="00CC4E82" w:rsidRPr="00C33A90" w:rsidRDefault="00CC4E82" w:rsidP="00C33A90">
      <w:pPr>
        <w:pStyle w:val="ListParagraph"/>
        <w:numPr>
          <w:ilvl w:val="0"/>
          <w:numId w:val="19"/>
        </w:numPr>
        <w:spacing w:after="0" w:line="240" w:lineRule="auto"/>
        <w:rPr>
          <w:rFonts w:ascii="Arial" w:hAnsi="Arial" w:cs="Arial"/>
          <w:sz w:val="24"/>
          <w:szCs w:val="24"/>
        </w:rPr>
      </w:pPr>
      <w:r w:rsidRPr="00C33A9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F0063C4" w14:textId="77777777" w:rsidR="00CC4E82" w:rsidRPr="00C33A90" w:rsidRDefault="00CC4E82" w:rsidP="00C33A90">
      <w:pPr>
        <w:spacing w:after="0" w:line="240" w:lineRule="auto"/>
        <w:rPr>
          <w:rFonts w:ascii="Arial" w:hAnsi="Arial" w:cs="Arial"/>
          <w:sz w:val="24"/>
          <w:szCs w:val="24"/>
        </w:rPr>
      </w:pPr>
    </w:p>
    <w:p w14:paraId="1D001B37"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1.07</w:t>
      </w:r>
      <w:r w:rsidRPr="00C33A90">
        <w:rPr>
          <w:rFonts w:ascii="Arial" w:hAnsi="Arial" w:cs="Arial"/>
          <w:sz w:val="24"/>
          <w:szCs w:val="24"/>
          <w:u w:val="single"/>
        </w:rPr>
        <w:tab/>
        <w:t>WARRANTY</w:t>
      </w:r>
    </w:p>
    <w:p w14:paraId="2820CB9F" w14:textId="77777777" w:rsidR="00CC4E82" w:rsidRPr="00C33A90" w:rsidRDefault="00CC4E82" w:rsidP="00C33A90">
      <w:pPr>
        <w:spacing w:after="0" w:line="240" w:lineRule="auto"/>
        <w:rPr>
          <w:rFonts w:ascii="Arial" w:hAnsi="Arial" w:cs="Arial"/>
          <w:sz w:val="24"/>
          <w:szCs w:val="24"/>
        </w:rPr>
      </w:pPr>
    </w:p>
    <w:p w14:paraId="0D3066E9" w14:textId="77777777"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Project Warranty: Refer to Conditions of the Contract for project warranty provisions.</w:t>
      </w:r>
    </w:p>
    <w:p w14:paraId="14E8AB73" w14:textId="77777777" w:rsidR="00CC4E82" w:rsidRPr="00C33A90" w:rsidRDefault="00CC4E82" w:rsidP="00C33A90">
      <w:pPr>
        <w:spacing w:after="0" w:line="240" w:lineRule="auto"/>
        <w:rPr>
          <w:rFonts w:ascii="Arial" w:hAnsi="Arial" w:cs="Arial"/>
          <w:sz w:val="24"/>
          <w:szCs w:val="24"/>
        </w:rPr>
      </w:pPr>
    </w:p>
    <w:p w14:paraId="3D061419" w14:textId="0BEBE6D7" w:rsidR="00CC4E82"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74038FE8" w14:textId="1B655157" w:rsidR="009355C0" w:rsidRPr="009355C0" w:rsidRDefault="009355C0" w:rsidP="009355C0">
      <w:pPr>
        <w:pStyle w:val="ListParagraph"/>
        <w:numPr>
          <w:ilvl w:val="2"/>
          <w:numId w:val="2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14:paraId="2D3DDB33" w14:textId="77777777" w:rsidR="00CC4E82" w:rsidRDefault="00CC4E82" w:rsidP="00C33A90">
      <w:pPr>
        <w:spacing w:after="0" w:line="240" w:lineRule="auto"/>
        <w:rPr>
          <w:rFonts w:ascii="Arial" w:hAnsi="Arial" w:cs="Arial"/>
          <w:sz w:val="24"/>
          <w:szCs w:val="24"/>
        </w:rPr>
      </w:pPr>
    </w:p>
    <w:p w14:paraId="390EFE62" w14:textId="77777777" w:rsidR="00C33A90" w:rsidRDefault="00C33A90" w:rsidP="00C33A90">
      <w:pPr>
        <w:spacing w:after="0" w:line="240" w:lineRule="auto"/>
        <w:rPr>
          <w:rFonts w:ascii="Arial" w:hAnsi="Arial" w:cs="Arial"/>
          <w:sz w:val="24"/>
          <w:szCs w:val="24"/>
        </w:rPr>
      </w:pPr>
    </w:p>
    <w:p w14:paraId="0F41BAB0" w14:textId="77777777" w:rsidR="00C33A90" w:rsidRPr="00C33A90" w:rsidRDefault="00C33A90" w:rsidP="00C33A90">
      <w:pPr>
        <w:spacing w:after="0" w:line="240" w:lineRule="auto"/>
        <w:rPr>
          <w:rFonts w:ascii="Arial" w:hAnsi="Arial" w:cs="Arial"/>
          <w:sz w:val="24"/>
          <w:szCs w:val="24"/>
        </w:rPr>
      </w:pPr>
    </w:p>
    <w:p w14:paraId="67A3B78B"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2 PRODUCTS</w:t>
      </w:r>
    </w:p>
    <w:p w14:paraId="0EC545E3" w14:textId="77777777" w:rsidR="00CC4E82" w:rsidRPr="00C33A90" w:rsidRDefault="00CC4E82" w:rsidP="00C33A90">
      <w:pPr>
        <w:spacing w:after="0" w:line="240" w:lineRule="auto"/>
        <w:rPr>
          <w:rFonts w:ascii="Arial" w:hAnsi="Arial" w:cs="Arial"/>
          <w:sz w:val="24"/>
          <w:szCs w:val="24"/>
        </w:rPr>
      </w:pPr>
    </w:p>
    <w:p w14:paraId="4116C8A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2.01</w:t>
      </w:r>
      <w:r w:rsidRPr="00C33A90">
        <w:rPr>
          <w:rFonts w:ascii="Arial" w:hAnsi="Arial" w:cs="Arial"/>
          <w:sz w:val="24"/>
          <w:szCs w:val="24"/>
          <w:u w:val="single"/>
        </w:rPr>
        <w:tab/>
        <w:t>MANUFACTURERS – (FIRE PROTECTIVE DOOR) (FIRE PROTECTIVE OPENING)</w:t>
      </w:r>
    </w:p>
    <w:p w14:paraId="221C17BE" w14:textId="77777777" w:rsidR="00CC4E82" w:rsidRPr="00C33A90" w:rsidRDefault="00CC4E82" w:rsidP="00C33A90">
      <w:pPr>
        <w:spacing w:after="0" w:line="240" w:lineRule="auto"/>
        <w:rPr>
          <w:rFonts w:ascii="Arial" w:hAnsi="Arial" w:cs="Arial"/>
          <w:sz w:val="24"/>
          <w:szCs w:val="24"/>
        </w:rPr>
      </w:pPr>
    </w:p>
    <w:p w14:paraId="2AC7978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Manufacturer of Framing System: GPX</w:t>
      </w:r>
      <w:r w:rsidR="009C0BCB" w:rsidRPr="00C33A90">
        <w:rPr>
          <w:rFonts w:ascii="Arial" w:hAnsi="Arial" w:cs="Arial"/>
          <w:b/>
          <w:sz w:val="24"/>
          <w:szCs w:val="24"/>
          <w:vertAlign w:val="superscript"/>
        </w:rPr>
        <w:t>®</w:t>
      </w:r>
      <w:r w:rsidRPr="00C33A90">
        <w:rPr>
          <w:rFonts w:ascii="Arial" w:hAnsi="Arial" w:cs="Arial"/>
          <w:sz w:val="24"/>
          <w:szCs w:val="24"/>
        </w:rPr>
        <w:t xml:space="preserve"> Builders Series Fire Protective Framing as distributed by SAFTI </w:t>
      </w:r>
      <w:r w:rsidRPr="00C33A90">
        <w:rPr>
          <w:rFonts w:ascii="Arial" w:hAnsi="Arial" w:cs="Arial"/>
          <w:i/>
          <w:sz w:val="24"/>
          <w:szCs w:val="24"/>
        </w:rPr>
        <w:t>FIRST</w:t>
      </w:r>
      <w:r w:rsidR="009C0BCB" w:rsidRPr="00C33A90">
        <w:rPr>
          <w:rFonts w:ascii="Arial" w:hAnsi="Arial" w:cs="Arial"/>
          <w:b/>
          <w:sz w:val="24"/>
          <w:szCs w:val="24"/>
          <w:vertAlign w:val="superscript"/>
        </w:rPr>
        <w:t>®</w:t>
      </w:r>
      <w:r w:rsidRPr="00C33A90">
        <w:rPr>
          <w:rFonts w:ascii="Arial" w:hAnsi="Arial" w:cs="Arial"/>
          <w:sz w:val="24"/>
          <w:szCs w:val="24"/>
        </w:rPr>
        <w:t xml:space="preserve"> Fire Rated Glazing Solutions.</w:t>
      </w:r>
    </w:p>
    <w:p w14:paraId="460D2F7F" w14:textId="77777777" w:rsidR="00CC4E82" w:rsidRPr="00C33A90" w:rsidRDefault="00CC4E82" w:rsidP="00C33A90">
      <w:pPr>
        <w:pStyle w:val="ListParagraph"/>
        <w:numPr>
          <w:ilvl w:val="0"/>
          <w:numId w:val="22"/>
        </w:numPr>
        <w:spacing w:after="0" w:line="240" w:lineRule="auto"/>
        <w:rPr>
          <w:rFonts w:ascii="Arial" w:hAnsi="Arial" w:cs="Arial"/>
          <w:sz w:val="24"/>
          <w:szCs w:val="24"/>
        </w:rPr>
      </w:pPr>
      <w:r w:rsidRPr="00C33A90">
        <w:rPr>
          <w:rFonts w:ascii="Arial" w:hAnsi="Arial" w:cs="Arial"/>
          <w:sz w:val="24"/>
          <w:szCs w:val="24"/>
        </w:rPr>
        <w:t>Contact: 100 N Hill Drive, Suite 12, Br</w:t>
      </w:r>
      <w:r w:rsidR="009C0BCB" w:rsidRPr="00C33A90">
        <w:rPr>
          <w:rFonts w:ascii="Arial" w:hAnsi="Arial" w:cs="Arial"/>
          <w:sz w:val="24"/>
          <w:szCs w:val="24"/>
        </w:rPr>
        <w:t>isbane, CA 94005; Telephone 888.653.</w:t>
      </w:r>
      <w:r w:rsidRPr="00C33A90">
        <w:rPr>
          <w:rFonts w:ascii="Arial" w:hAnsi="Arial" w:cs="Arial"/>
          <w:sz w:val="24"/>
          <w:szCs w:val="24"/>
        </w:rPr>
        <w:t xml:space="preserve"> 3333; email </w:t>
      </w:r>
      <w:hyperlink r:id="rId9"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0" w:history="1">
        <w:r w:rsidR="009C0BCB" w:rsidRPr="00C33A90">
          <w:rPr>
            <w:rStyle w:val="Hyperlink"/>
            <w:rFonts w:ascii="Arial" w:hAnsi="Arial" w:cs="Arial"/>
            <w:sz w:val="24"/>
            <w:szCs w:val="24"/>
          </w:rPr>
          <w:t>www.safti.com</w:t>
        </w:r>
      </w:hyperlink>
    </w:p>
    <w:p w14:paraId="02E3F4FB" w14:textId="77777777" w:rsidR="00CC4E82" w:rsidRPr="00C33A90" w:rsidRDefault="00CC4E82" w:rsidP="00C33A90">
      <w:pPr>
        <w:spacing w:after="0" w:line="240" w:lineRule="auto"/>
        <w:rPr>
          <w:rFonts w:ascii="Arial" w:hAnsi="Arial" w:cs="Arial"/>
          <w:sz w:val="24"/>
          <w:szCs w:val="24"/>
        </w:rPr>
      </w:pPr>
    </w:p>
    <w:p w14:paraId="7E39EC7D" w14:textId="77777777" w:rsidR="009C0BCB"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 xml:space="preserve">Manufacturer of Glazing Material: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45-HS)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 HS-LI)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I</w:t>
      </w:r>
      <w:r w:rsidR="009C0BCB" w:rsidRPr="00C33A90">
        <w:rPr>
          <w:rFonts w:ascii="Arial" w:hAnsi="Arial" w:cs="Arial"/>
          <w:sz w:val="24"/>
          <w:szCs w:val="24"/>
        </w:rPr>
        <w:t>I-XL) (SuperLite</w:t>
      </w:r>
      <w:r w:rsidR="009C0BCB" w:rsidRPr="00C33A90">
        <w:rPr>
          <w:rFonts w:ascii="Arial" w:hAnsi="Arial" w:cs="Arial"/>
          <w:b/>
          <w:sz w:val="24"/>
          <w:szCs w:val="24"/>
          <w:vertAlign w:val="superscript"/>
        </w:rPr>
        <w:t>®</w:t>
      </w:r>
      <w:r w:rsidRPr="00C33A90">
        <w:rPr>
          <w:rFonts w:ascii="Arial" w:hAnsi="Arial" w:cs="Arial"/>
          <w:sz w:val="24"/>
          <w:szCs w:val="24"/>
        </w:rPr>
        <w:t xml:space="preserve"> I-XL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 xml:space="preserve">II-XL 45 ) (SuperLite </w:t>
      </w:r>
      <w:r w:rsidR="009C0BCB" w:rsidRPr="00C33A90">
        <w:rPr>
          <w:rFonts w:ascii="Arial" w:hAnsi="Arial" w:cs="Arial"/>
          <w:b/>
          <w:sz w:val="24"/>
          <w:szCs w:val="24"/>
          <w:vertAlign w:val="superscript"/>
        </w:rPr>
        <w:t>®</w:t>
      </w:r>
      <w:r w:rsidRPr="00C33A90">
        <w:rPr>
          <w:rFonts w:ascii="Arial" w:hAnsi="Arial" w:cs="Arial"/>
          <w:sz w:val="24"/>
          <w:szCs w:val="24"/>
        </w:rPr>
        <w:t xml:space="preserve"> II-XL 45 IGU) (SuperLite X-45/60/90) as manufactured and distributed by </w:t>
      </w:r>
      <w:r w:rsidR="009C0BCB" w:rsidRPr="00C33A90">
        <w:rPr>
          <w:rFonts w:ascii="Arial" w:hAnsi="Arial" w:cs="Arial"/>
          <w:sz w:val="24"/>
          <w:szCs w:val="24"/>
        </w:rPr>
        <w:t xml:space="preserve">SAFTI </w:t>
      </w:r>
      <w:r w:rsidR="009C0BCB" w:rsidRPr="00C33A90">
        <w:rPr>
          <w:rFonts w:ascii="Arial" w:hAnsi="Arial" w:cs="Arial"/>
          <w:i/>
          <w:sz w:val="24"/>
          <w:szCs w:val="24"/>
        </w:rPr>
        <w:t>FIRST</w:t>
      </w:r>
      <w:r w:rsidR="009C0BCB" w:rsidRPr="00C33A90">
        <w:rPr>
          <w:rFonts w:ascii="Arial" w:hAnsi="Arial" w:cs="Arial"/>
          <w:b/>
          <w:sz w:val="24"/>
          <w:szCs w:val="24"/>
          <w:vertAlign w:val="superscript"/>
        </w:rPr>
        <w:t>®</w:t>
      </w:r>
      <w:r w:rsidR="009C0BCB" w:rsidRPr="00C33A90">
        <w:rPr>
          <w:rFonts w:ascii="Arial" w:hAnsi="Arial" w:cs="Arial"/>
          <w:sz w:val="24"/>
          <w:szCs w:val="24"/>
        </w:rPr>
        <w:t xml:space="preserve"> </w:t>
      </w:r>
      <w:r w:rsidRPr="00C33A90">
        <w:rPr>
          <w:rFonts w:ascii="Arial" w:hAnsi="Arial" w:cs="Arial"/>
          <w:sz w:val="24"/>
          <w:szCs w:val="24"/>
        </w:rPr>
        <w:t xml:space="preserve"> Fire Rated Glazing Solutions. </w:t>
      </w:r>
    </w:p>
    <w:p w14:paraId="0F32772B" w14:textId="77777777" w:rsidR="00CC4E82" w:rsidRPr="00C33A90" w:rsidRDefault="00CC4E82" w:rsidP="00C33A90">
      <w:pPr>
        <w:pStyle w:val="ListParagraph"/>
        <w:numPr>
          <w:ilvl w:val="0"/>
          <w:numId w:val="23"/>
        </w:numPr>
        <w:spacing w:after="0" w:line="240" w:lineRule="auto"/>
        <w:rPr>
          <w:rFonts w:ascii="Arial" w:hAnsi="Arial" w:cs="Arial"/>
          <w:sz w:val="24"/>
          <w:szCs w:val="24"/>
        </w:rPr>
      </w:pPr>
      <w:r w:rsidRPr="00C33A90">
        <w:rPr>
          <w:rFonts w:ascii="Arial" w:hAnsi="Arial" w:cs="Arial"/>
          <w:sz w:val="24"/>
          <w:szCs w:val="24"/>
        </w:rPr>
        <w:t xml:space="preserve">Contact: 100 N Hill Drive, Suite 12, Brisbane, CA 94005; Telephone 888.653. 3333; Fax 888.653.4444; email </w:t>
      </w:r>
      <w:hyperlink r:id="rId11"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2" w:history="1">
        <w:r w:rsidRPr="00C33A90">
          <w:rPr>
            <w:rStyle w:val="Hyperlink"/>
            <w:rFonts w:ascii="Arial" w:hAnsi="Arial" w:cs="Arial"/>
            <w:sz w:val="24"/>
            <w:szCs w:val="24"/>
          </w:rPr>
          <w:t>www.safti.com</w:t>
        </w:r>
      </w:hyperlink>
    </w:p>
    <w:p w14:paraId="1E126B7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43B25D1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2CAA54E3" w14:textId="77777777" w:rsidR="00CC4E82" w:rsidRPr="00C33A90" w:rsidRDefault="00CC4E82" w:rsidP="00C33A90">
      <w:pPr>
        <w:spacing w:after="0" w:line="240" w:lineRule="auto"/>
        <w:rPr>
          <w:rFonts w:ascii="Arial" w:hAnsi="Arial" w:cs="Arial"/>
          <w:sz w:val="24"/>
          <w:szCs w:val="24"/>
        </w:rPr>
      </w:pPr>
    </w:p>
    <w:p w14:paraId="1D8742E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Substitutions: No substitutions allowed.</w:t>
      </w:r>
    </w:p>
    <w:p w14:paraId="691EB231" w14:textId="77777777" w:rsidR="00CC4E82" w:rsidRPr="00C33A90" w:rsidRDefault="00CC4E82" w:rsidP="00C33A90">
      <w:pPr>
        <w:spacing w:after="0" w:line="240" w:lineRule="auto"/>
        <w:rPr>
          <w:rFonts w:ascii="Arial" w:hAnsi="Arial" w:cs="Arial"/>
          <w:sz w:val="24"/>
          <w:szCs w:val="24"/>
        </w:rPr>
      </w:pPr>
    </w:p>
    <w:p w14:paraId="59A701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2.02</w:t>
      </w:r>
      <w:r w:rsidRPr="00C33A90">
        <w:rPr>
          <w:rFonts w:ascii="Arial" w:hAnsi="Arial" w:cs="Arial"/>
          <w:sz w:val="24"/>
          <w:szCs w:val="24"/>
          <w:u w:val="single"/>
        </w:rPr>
        <w:tab/>
        <w:t>MATERIALS – FRAMING</w:t>
      </w:r>
    </w:p>
    <w:p w14:paraId="7701D229" w14:textId="77777777" w:rsidR="00CC4E82" w:rsidRPr="00C33A90" w:rsidRDefault="00CC4E82" w:rsidP="00C33A90">
      <w:pPr>
        <w:spacing w:after="0" w:line="240" w:lineRule="auto"/>
        <w:rPr>
          <w:rFonts w:ascii="Arial" w:hAnsi="Arial" w:cs="Arial"/>
          <w:sz w:val="24"/>
          <w:szCs w:val="24"/>
        </w:rPr>
      </w:pPr>
    </w:p>
    <w:p w14:paraId="1BE872C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Fire protective framing system for 20-45 minute doors and openings.</w:t>
      </w:r>
    </w:p>
    <w:p w14:paraId="3F87BD6B" w14:textId="77777777" w:rsidR="00CC4E82" w:rsidRPr="00C33A90" w:rsidRDefault="00CC4E82" w:rsidP="00C33A90">
      <w:pPr>
        <w:spacing w:after="0" w:line="240" w:lineRule="auto"/>
        <w:rPr>
          <w:rFonts w:ascii="Arial" w:hAnsi="Arial" w:cs="Arial"/>
          <w:sz w:val="24"/>
          <w:szCs w:val="24"/>
        </w:rPr>
      </w:pPr>
    </w:p>
    <w:p w14:paraId="557A812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Properties:</w:t>
      </w:r>
    </w:p>
    <w:p w14:paraId="57B94906"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Constructed in accordance with the individual manufacturer’s listings or in accordance with HMMA 861-06 and HMMA 850.</w:t>
      </w:r>
    </w:p>
    <w:p w14:paraId="7A334A2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Maximum door opening sizes are 54 in. x 120 in. for single doors and 96 in. x 120 in. for pair doors. No intermediate rails required. For max. door sizes, continuous hinges may be required.</w:t>
      </w:r>
    </w:p>
    <w:p w14:paraId="1CB1F991"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Standard door profile includes 5 in. rail and 2 in. frame. Narrow door profile includes 3- 3/4 in. rail and 1-1/8 in frame.</w:t>
      </w:r>
    </w:p>
    <w:p w14:paraId="72BFF954"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10 in. ADA compliant bottom rail (can be modified with AHJ approval).</w:t>
      </w:r>
    </w:p>
    <w:p w14:paraId="49CCFA8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4 to 5 in. door depth</w:t>
      </w:r>
    </w:p>
    <w:p w14:paraId="57B52148" w14:textId="77777777" w:rsidR="00CC4E82" w:rsidRPr="00C33A90" w:rsidRDefault="00CC4E82" w:rsidP="00C33A90">
      <w:pPr>
        <w:spacing w:after="0" w:line="240" w:lineRule="auto"/>
        <w:rPr>
          <w:rFonts w:ascii="Arial" w:hAnsi="Arial" w:cs="Arial"/>
          <w:sz w:val="24"/>
          <w:szCs w:val="24"/>
        </w:rPr>
      </w:pPr>
    </w:p>
    <w:p w14:paraId="5ACA9F1F"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MATERIALS – GLASS</w:t>
      </w:r>
    </w:p>
    <w:p w14:paraId="2A474B8B" w14:textId="77777777" w:rsidR="00CC4E82" w:rsidRPr="00C33A90" w:rsidRDefault="00CC4E82" w:rsidP="00C33A90">
      <w:pPr>
        <w:spacing w:after="0" w:line="240" w:lineRule="auto"/>
        <w:rPr>
          <w:rFonts w:ascii="Arial" w:hAnsi="Arial" w:cs="Arial"/>
          <w:sz w:val="24"/>
          <w:szCs w:val="24"/>
        </w:rPr>
      </w:pPr>
    </w:p>
    <w:p w14:paraId="0C29E0D3"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Assemblies shall be glazed with SuperLite</w:t>
      </w:r>
      <w:r w:rsidR="009C0BCB" w:rsidRPr="00C33A90">
        <w:rPr>
          <w:rFonts w:ascii="Arial" w:hAnsi="Arial" w:cs="Arial"/>
          <w:b/>
          <w:sz w:val="24"/>
          <w:szCs w:val="24"/>
          <w:vertAlign w:val="superscript"/>
        </w:rPr>
        <w:t>®</w:t>
      </w:r>
      <w:r w:rsidRPr="00C33A90">
        <w:rPr>
          <w:rFonts w:ascii="Arial" w:hAnsi="Arial" w:cs="Arial"/>
          <w:sz w:val="24"/>
          <w:szCs w:val="24"/>
        </w:rPr>
        <w:t xml:space="preserve"> glazing products.</w:t>
      </w:r>
    </w:p>
    <w:p w14:paraId="3DA2C383" w14:textId="77777777" w:rsidR="00CC4E82" w:rsidRPr="00C33A90" w:rsidRDefault="00CC4E82" w:rsidP="00C33A90">
      <w:pPr>
        <w:spacing w:after="0" w:line="240" w:lineRule="auto"/>
        <w:rPr>
          <w:rFonts w:ascii="Arial" w:hAnsi="Arial" w:cs="Arial"/>
          <w:sz w:val="24"/>
          <w:szCs w:val="24"/>
        </w:rPr>
      </w:pPr>
    </w:p>
    <w:p w14:paraId="28334FA9"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Properties:</w:t>
      </w:r>
    </w:p>
    <w:p w14:paraId="5383BC6B"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Fire protective glazing less than 60 minutes up to the max. size tested.</w:t>
      </w:r>
    </w:p>
    <w:p w14:paraId="7FE02D48"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Individual Lites shall be permanently identified with a listing mark.</w:t>
      </w:r>
    </w:p>
    <w:p w14:paraId="5636303F"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77E5BBE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Visible daylight transmission: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4367412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STC rating: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6B3C1950" w14:textId="77777777" w:rsidR="00CC4E82" w:rsidRPr="00C33A90" w:rsidRDefault="00CC4E82" w:rsidP="00C33A90">
      <w:pPr>
        <w:spacing w:after="0" w:line="240" w:lineRule="auto"/>
        <w:rPr>
          <w:rFonts w:ascii="Arial" w:hAnsi="Arial" w:cs="Arial"/>
          <w:sz w:val="24"/>
          <w:szCs w:val="24"/>
        </w:rPr>
      </w:pPr>
    </w:p>
    <w:p w14:paraId="7BA3F437" w14:textId="77777777" w:rsidR="00CC4E82" w:rsidRPr="00C33A90" w:rsidRDefault="009C0BCB" w:rsidP="00C33A90">
      <w:pPr>
        <w:spacing w:after="0" w:line="240" w:lineRule="auto"/>
        <w:rPr>
          <w:rFonts w:ascii="Arial" w:hAnsi="Arial" w:cs="Arial"/>
          <w:sz w:val="24"/>
          <w:szCs w:val="24"/>
        </w:rPr>
      </w:pPr>
      <w:r w:rsidRPr="00C33A90">
        <w:rPr>
          <w:rFonts w:ascii="Arial" w:hAnsi="Arial" w:cs="Arial"/>
          <w:sz w:val="24"/>
          <w:szCs w:val="24"/>
        </w:rPr>
        <w:t xml:space="preserve">C.   </w:t>
      </w:r>
      <w:r w:rsidR="00CC4E82" w:rsidRPr="00C33A90">
        <w:rPr>
          <w:rFonts w:ascii="Arial" w:hAnsi="Arial" w:cs="Arial"/>
          <w:sz w:val="24"/>
          <w:szCs w:val="24"/>
        </w:rPr>
        <w:t>Logo: Each piece of fire rated glazing shall be labeled with a permanent logo.</w:t>
      </w:r>
    </w:p>
    <w:p w14:paraId="5BDCE062" w14:textId="77777777" w:rsidR="00CC4E82" w:rsidRPr="00C33A90" w:rsidRDefault="00CC4E82" w:rsidP="00C33A90">
      <w:pPr>
        <w:spacing w:after="0" w:line="240" w:lineRule="auto"/>
        <w:rPr>
          <w:rFonts w:ascii="Arial" w:hAnsi="Arial" w:cs="Arial"/>
          <w:sz w:val="24"/>
          <w:szCs w:val="24"/>
        </w:rPr>
      </w:pPr>
    </w:p>
    <w:p w14:paraId="4398F9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FABRICATION</w:t>
      </w:r>
    </w:p>
    <w:p w14:paraId="5EB8C945" w14:textId="77777777" w:rsidR="00CC4E82" w:rsidRPr="00C33A90" w:rsidRDefault="00CC4E82" w:rsidP="00C33A90">
      <w:pPr>
        <w:spacing w:after="0" w:line="240" w:lineRule="auto"/>
        <w:rPr>
          <w:rFonts w:ascii="Arial" w:hAnsi="Arial" w:cs="Arial"/>
          <w:sz w:val="24"/>
          <w:szCs w:val="24"/>
        </w:rPr>
      </w:pPr>
    </w:p>
    <w:p w14:paraId="720E438A"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Assemblies shall be furnished [knocked down for field assembly and will be glazed in the field]   [assembled (should configurations and job site conditi</w:t>
      </w:r>
      <w:r w:rsidR="009C0BCB" w:rsidRPr="00C33A90">
        <w:rPr>
          <w:rFonts w:ascii="Arial" w:hAnsi="Arial" w:cs="Arial"/>
          <w:sz w:val="24"/>
          <w:szCs w:val="24"/>
        </w:rPr>
        <w:t>ons allow)]</w:t>
      </w:r>
      <w:r w:rsidRPr="00C33A90">
        <w:rPr>
          <w:rFonts w:ascii="Arial" w:hAnsi="Arial" w:cs="Arial"/>
          <w:sz w:val="24"/>
          <w:szCs w:val="24"/>
        </w:rPr>
        <w:t>[unitized (should configurations and job site conditions allow)].</w:t>
      </w:r>
    </w:p>
    <w:p w14:paraId="2841FF6B" w14:textId="77777777" w:rsidR="00CC4E82" w:rsidRPr="00C33A90" w:rsidRDefault="00CC4E82" w:rsidP="00C33A90">
      <w:pPr>
        <w:spacing w:after="0" w:line="240" w:lineRule="auto"/>
        <w:rPr>
          <w:rFonts w:ascii="Arial" w:hAnsi="Arial" w:cs="Arial"/>
          <w:sz w:val="24"/>
          <w:szCs w:val="24"/>
        </w:rPr>
      </w:pPr>
    </w:p>
    <w:p w14:paraId="06F07022"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Door assemblies shall be factory prepared for field mounting of hardware.</w:t>
      </w:r>
    </w:p>
    <w:p w14:paraId="510A8E09" w14:textId="77777777" w:rsidR="00CC4E82" w:rsidRPr="00C33A90" w:rsidRDefault="00CC4E82" w:rsidP="00C33A90">
      <w:pPr>
        <w:spacing w:after="0" w:line="240" w:lineRule="auto"/>
        <w:ind w:left="-360" w:firstLine="60"/>
        <w:rPr>
          <w:rFonts w:ascii="Arial" w:hAnsi="Arial" w:cs="Arial"/>
          <w:sz w:val="24"/>
          <w:szCs w:val="24"/>
        </w:rPr>
      </w:pPr>
    </w:p>
    <w:p w14:paraId="1CF7C644"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687DCDC2" w14:textId="77777777" w:rsidR="00CC4E82" w:rsidRPr="00C33A90" w:rsidRDefault="00CC4E82" w:rsidP="00C33A90">
      <w:pPr>
        <w:spacing w:after="0" w:line="240" w:lineRule="auto"/>
        <w:rPr>
          <w:rFonts w:ascii="Arial" w:hAnsi="Arial" w:cs="Arial"/>
          <w:sz w:val="24"/>
          <w:szCs w:val="24"/>
        </w:rPr>
      </w:pPr>
    </w:p>
    <w:p w14:paraId="3D4B680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2.04</w:t>
      </w:r>
      <w:r w:rsidRPr="00C33A90">
        <w:rPr>
          <w:rFonts w:ascii="Arial" w:hAnsi="Arial" w:cs="Arial"/>
          <w:sz w:val="24"/>
          <w:szCs w:val="24"/>
          <w:u w:val="single"/>
        </w:rPr>
        <w:tab/>
        <w:t>FINISHES</w:t>
      </w:r>
    </w:p>
    <w:p w14:paraId="10E22172" w14:textId="77777777" w:rsidR="00CC4E82" w:rsidRPr="00C33A90" w:rsidRDefault="00CC4E82" w:rsidP="00C33A90">
      <w:pPr>
        <w:spacing w:after="0" w:line="240" w:lineRule="auto"/>
        <w:rPr>
          <w:rFonts w:ascii="Arial" w:hAnsi="Arial" w:cs="Arial"/>
          <w:sz w:val="24"/>
          <w:szCs w:val="24"/>
        </w:rPr>
      </w:pPr>
    </w:p>
    <w:p w14:paraId="4E29CA89" w14:textId="77777777" w:rsidR="00CC4E82" w:rsidRPr="00C33A90" w:rsidRDefault="00CC4E82" w:rsidP="00C33A90">
      <w:pPr>
        <w:pStyle w:val="ListParagraph"/>
        <w:numPr>
          <w:ilvl w:val="0"/>
          <w:numId w:val="29"/>
        </w:numPr>
        <w:spacing w:after="0" w:line="240" w:lineRule="auto"/>
        <w:rPr>
          <w:rFonts w:ascii="Arial" w:hAnsi="Arial" w:cs="Arial"/>
          <w:sz w:val="24"/>
          <w:szCs w:val="24"/>
        </w:rPr>
      </w:pPr>
      <w:r w:rsidRPr="00C33A90">
        <w:rPr>
          <w:rFonts w:ascii="Arial" w:hAnsi="Arial" w:cs="Arial"/>
          <w:sz w:val="24"/>
          <w:szCs w:val="24"/>
        </w:rPr>
        <w:t>Available with high performance Coraflon fluoropolymer finishes by PPG</w:t>
      </w:r>
      <w:r w:rsidR="009C0BCB" w:rsidRPr="00C33A90">
        <w:rPr>
          <w:rFonts w:ascii="Arial" w:hAnsi="Arial" w:cs="Arial"/>
          <w:b/>
          <w:sz w:val="24"/>
          <w:szCs w:val="24"/>
          <w:vertAlign w:val="superscript"/>
        </w:rPr>
        <w:t>®</w:t>
      </w:r>
      <w:r w:rsidRPr="00C33A90">
        <w:rPr>
          <w:rFonts w:ascii="Arial" w:hAnsi="Arial" w:cs="Arial"/>
          <w:sz w:val="24"/>
          <w:szCs w:val="24"/>
        </w:rPr>
        <w:t xml:space="preserve"> or other custom finishes including stainless steel or aluminum clad.</w:t>
      </w:r>
    </w:p>
    <w:p w14:paraId="344BC57C" w14:textId="77777777" w:rsidR="00CC4E82" w:rsidRPr="00C33A90" w:rsidRDefault="00CC4E82" w:rsidP="00C33A90">
      <w:pPr>
        <w:spacing w:after="0" w:line="240" w:lineRule="auto"/>
        <w:rPr>
          <w:rFonts w:ascii="Arial" w:hAnsi="Arial" w:cs="Arial"/>
          <w:sz w:val="24"/>
          <w:szCs w:val="24"/>
        </w:rPr>
      </w:pPr>
    </w:p>
    <w:p w14:paraId="59E3E61C"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2.05</w:t>
      </w:r>
      <w:r w:rsidRPr="00C33A90">
        <w:rPr>
          <w:rFonts w:ascii="Arial" w:hAnsi="Arial" w:cs="Arial"/>
          <w:sz w:val="24"/>
          <w:szCs w:val="24"/>
          <w:u w:val="single"/>
        </w:rPr>
        <w:tab/>
        <w:t>DOOR HARDWARE FOR SINGLE AND PAIR DOORS</w:t>
      </w:r>
    </w:p>
    <w:p w14:paraId="16FFA5A1" w14:textId="77777777" w:rsidR="00CC4E82" w:rsidRPr="00C33A90" w:rsidRDefault="00CC4E82" w:rsidP="00C33A90">
      <w:pPr>
        <w:spacing w:after="0" w:line="240" w:lineRule="auto"/>
        <w:rPr>
          <w:rFonts w:ascii="Arial" w:hAnsi="Arial" w:cs="Arial"/>
          <w:sz w:val="24"/>
          <w:szCs w:val="24"/>
        </w:rPr>
      </w:pPr>
    </w:p>
    <w:p w14:paraId="6881C2B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Hardware shall be supplied with the fire door. Hardware selection shall be from door manufacturer’s standard recommended hardware groups as specified below.</w:t>
      </w:r>
    </w:p>
    <w:p w14:paraId="5517CD48" w14:textId="77777777" w:rsidR="00CC4E82" w:rsidRPr="00C33A90" w:rsidRDefault="00CC4E82" w:rsidP="00C33A90">
      <w:pPr>
        <w:spacing w:after="0" w:line="240" w:lineRule="auto"/>
        <w:rPr>
          <w:rFonts w:ascii="Arial" w:hAnsi="Arial" w:cs="Arial"/>
          <w:sz w:val="24"/>
          <w:szCs w:val="24"/>
        </w:rPr>
      </w:pPr>
    </w:p>
    <w:p w14:paraId="0D2B251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Provide high traffic areas of areas requiring a door motion force of greater than 15 lbs. with power assisted hardware for use with manufacturer’s frame system.</w:t>
      </w:r>
    </w:p>
    <w:p w14:paraId="4B3AA657" w14:textId="77777777" w:rsidR="00CC4E82" w:rsidRPr="00C33A90" w:rsidRDefault="00CC4E82" w:rsidP="00C33A90">
      <w:pPr>
        <w:spacing w:after="0" w:line="240" w:lineRule="auto"/>
        <w:rPr>
          <w:rFonts w:ascii="Arial" w:hAnsi="Arial" w:cs="Arial"/>
          <w:sz w:val="24"/>
          <w:szCs w:val="24"/>
        </w:rPr>
      </w:pPr>
    </w:p>
    <w:p w14:paraId="52A2291E" w14:textId="64DCE20D" w:rsidR="009355C0" w:rsidRDefault="00CC4E82" w:rsidP="009355C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1E8B2B2B" w14:textId="77777777" w:rsidR="009355C0" w:rsidRPr="009355C0" w:rsidRDefault="009355C0" w:rsidP="009355C0">
      <w:pPr>
        <w:pStyle w:val="ListParagraph"/>
        <w:rPr>
          <w:rFonts w:ascii="Arial" w:hAnsi="Arial" w:cs="Arial"/>
          <w:sz w:val="24"/>
          <w:szCs w:val="24"/>
        </w:rPr>
      </w:pPr>
    </w:p>
    <w:p w14:paraId="08D8E84A" w14:textId="70BB0946" w:rsidR="009355C0" w:rsidRDefault="009355C0" w:rsidP="009355C0">
      <w:pPr>
        <w:spacing w:after="0" w:line="240" w:lineRule="auto"/>
        <w:rPr>
          <w:rFonts w:ascii="Arial" w:hAnsi="Arial" w:cs="Arial"/>
          <w:sz w:val="24"/>
          <w:szCs w:val="24"/>
        </w:rPr>
      </w:pPr>
    </w:p>
    <w:p w14:paraId="525FB525" w14:textId="77777777" w:rsidR="009355C0" w:rsidRPr="009355C0" w:rsidRDefault="009355C0" w:rsidP="009355C0">
      <w:pPr>
        <w:spacing w:after="0" w:line="240" w:lineRule="auto"/>
        <w:rPr>
          <w:rFonts w:ascii="Arial" w:hAnsi="Arial" w:cs="Arial"/>
          <w:sz w:val="24"/>
          <w:szCs w:val="24"/>
        </w:rPr>
      </w:pPr>
    </w:p>
    <w:p w14:paraId="050ADA7C" w14:textId="77777777" w:rsidR="00CC4E82" w:rsidRPr="00C33A90" w:rsidRDefault="00CC4E82" w:rsidP="00C33A90">
      <w:pPr>
        <w:spacing w:after="0" w:line="240" w:lineRule="auto"/>
        <w:rPr>
          <w:rFonts w:ascii="Arial" w:hAnsi="Arial" w:cs="Arial"/>
          <w:sz w:val="24"/>
          <w:szCs w:val="24"/>
        </w:rPr>
      </w:pPr>
    </w:p>
    <w:tbl>
      <w:tblPr>
        <w:tblW w:w="100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9C0BCB" w:rsidRPr="00C33A90" w14:paraId="1B522889" w14:textId="77777777" w:rsidTr="00114CCE">
        <w:trPr>
          <w:trHeight w:val="458"/>
        </w:trPr>
        <w:tc>
          <w:tcPr>
            <w:tcW w:w="2004" w:type="dxa"/>
          </w:tcPr>
          <w:p w14:paraId="0C6C6FBD" w14:textId="77777777" w:rsidR="009C0BCB" w:rsidRPr="00C33A90" w:rsidRDefault="009C0BCB" w:rsidP="00C33A90">
            <w:pPr>
              <w:pStyle w:val="TableParagraph"/>
              <w:ind w:left="107"/>
              <w:rPr>
                <w:sz w:val="24"/>
                <w:szCs w:val="24"/>
              </w:rPr>
            </w:pPr>
            <w:r w:rsidRPr="00C33A90">
              <w:rPr>
                <w:sz w:val="24"/>
                <w:szCs w:val="24"/>
              </w:rPr>
              <w:t>Quantity</w:t>
            </w:r>
          </w:p>
        </w:tc>
        <w:tc>
          <w:tcPr>
            <w:tcW w:w="1999" w:type="dxa"/>
          </w:tcPr>
          <w:p w14:paraId="37074AFA" w14:textId="77777777" w:rsidR="009C0BCB" w:rsidRPr="00C33A90" w:rsidRDefault="009C0BCB" w:rsidP="00C33A90">
            <w:pPr>
              <w:pStyle w:val="TableParagraph"/>
              <w:ind w:left="108"/>
              <w:rPr>
                <w:sz w:val="24"/>
                <w:szCs w:val="24"/>
              </w:rPr>
            </w:pPr>
            <w:r w:rsidRPr="00C33A90">
              <w:rPr>
                <w:sz w:val="24"/>
                <w:szCs w:val="24"/>
              </w:rPr>
              <w:t>Item</w:t>
            </w:r>
          </w:p>
        </w:tc>
        <w:tc>
          <w:tcPr>
            <w:tcW w:w="2020" w:type="dxa"/>
          </w:tcPr>
          <w:p w14:paraId="2DD41DD5" w14:textId="77777777" w:rsidR="009C0BCB" w:rsidRPr="00C33A90" w:rsidRDefault="009C0BCB" w:rsidP="00C33A90">
            <w:pPr>
              <w:pStyle w:val="TableParagraph"/>
              <w:ind w:left="109"/>
              <w:rPr>
                <w:sz w:val="24"/>
                <w:szCs w:val="24"/>
              </w:rPr>
            </w:pPr>
            <w:r w:rsidRPr="00C33A90">
              <w:rPr>
                <w:sz w:val="24"/>
                <w:szCs w:val="24"/>
              </w:rPr>
              <w:t>Description</w:t>
            </w:r>
          </w:p>
        </w:tc>
        <w:tc>
          <w:tcPr>
            <w:tcW w:w="2032" w:type="dxa"/>
          </w:tcPr>
          <w:p w14:paraId="3D893305" w14:textId="77777777" w:rsidR="009C0BCB" w:rsidRPr="00C33A90" w:rsidRDefault="009C0BCB" w:rsidP="00C33A90">
            <w:pPr>
              <w:pStyle w:val="TableParagraph"/>
              <w:ind w:left="110"/>
              <w:rPr>
                <w:sz w:val="24"/>
                <w:szCs w:val="24"/>
              </w:rPr>
            </w:pPr>
            <w:r w:rsidRPr="00C33A90">
              <w:rPr>
                <w:sz w:val="24"/>
                <w:szCs w:val="24"/>
              </w:rPr>
              <w:t>Manufacturer</w:t>
            </w:r>
          </w:p>
        </w:tc>
        <w:tc>
          <w:tcPr>
            <w:tcW w:w="2013" w:type="dxa"/>
          </w:tcPr>
          <w:p w14:paraId="53771AF6" w14:textId="77777777" w:rsidR="009C0BCB" w:rsidRPr="00C33A90" w:rsidRDefault="009C0BCB" w:rsidP="00C33A90">
            <w:pPr>
              <w:pStyle w:val="TableParagraph"/>
              <w:ind w:left="111"/>
              <w:rPr>
                <w:sz w:val="24"/>
                <w:szCs w:val="24"/>
              </w:rPr>
            </w:pPr>
            <w:r w:rsidRPr="00C33A90">
              <w:rPr>
                <w:sz w:val="24"/>
                <w:szCs w:val="24"/>
              </w:rPr>
              <w:t>Finish</w:t>
            </w:r>
          </w:p>
        </w:tc>
      </w:tr>
      <w:tr w:rsidR="009C0BCB" w:rsidRPr="00C33A90" w14:paraId="69225D1B" w14:textId="77777777" w:rsidTr="00114CCE">
        <w:trPr>
          <w:trHeight w:val="1053"/>
        </w:trPr>
        <w:tc>
          <w:tcPr>
            <w:tcW w:w="2004" w:type="dxa"/>
          </w:tcPr>
          <w:p w14:paraId="39E9C917" w14:textId="77777777" w:rsidR="009C0BCB" w:rsidRPr="00C33A90" w:rsidRDefault="009C0BCB" w:rsidP="00C33A90">
            <w:pPr>
              <w:pStyle w:val="TableParagraph"/>
              <w:ind w:left="107"/>
              <w:rPr>
                <w:sz w:val="24"/>
                <w:szCs w:val="24"/>
              </w:rPr>
            </w:pPr>
            <w:r w:rsidRPr="00C33A90">
              <w:rPr>
                <w:w w:val="99"/>
                <w:sz w:val="24"/>
                <w:szCs w:val="24"/>
              </w:rPr>
              <w:t>4</w:t>
            </w:r>
          </w:p>
        </w:tc>
        <w:tc>
          <w:tcPr>
            <w:tcW w:w="1999" w:type="dxa"/>
          </w:tcPr>
          <w:p w14:paraId="58D44F78" w14:textId="77777777" w:rsidR="009C0BCB" w:rsidRPr="00C33A90" w:rsidRDefault="009C0BCB" w:rsidP="00C33A90">
            <w:pPr>
              <w:pStyle w:val="TableParagraph"/>
              <w:ind w:left="108"/>
              <w:rPr>
                <w:sz w:val="24"/>
                <w:szCs w:val="24"/>
              </w:rPr>
            </w:pPr>
            <w:r w:rsidRPr="00C33A90">
              <w:rPr>
                <w:sz w:val="24"/>
                <w:szCs w:val="24"/>
              </w:rPr>
              <w:t>Hinges</w:t>
            </w:r>
          </w:p>
        </w:tc>
        <w:tc>
          <w:tcPr>
            <w:tcW w:w="2020" w:type="dxa"/>
          </w:tcPr>
          <w:p w14:paraId="63F99FCF" w14:textId="77777777" w:rsidR="009C0BCB" w:rsidRPr="00C33A90" w:rsidRDefault="009C0BCB" w:rsidP="00C33A90">
            <w:pPr>
              <w:pStyle w:val="TableParagraph"/>
              <w:ind w:left="109" w:right="146"/>
              <w:rPr>
                <w:sz w:val="24"/>
                <w:szCs w:val="24"/>
              </w:rPr>
            </w:pPr>
            <w:r w:rsidRPr="00C33A90">
              <w:rPr>
                <w:sz w:val="24"/>
                <w:szCs w:val="24"/>
              </w:rPr>
              <w:t>Ball Bearing Heavy Duty Butt Hinges</w:t>
            </w:r>
          </w:p>
        </w:tc>
        <w:tc>
          <w:tcPr>
            <w:tcW w:w="2032" w:type="dxa"/>
          </w:tcPr>
          <w:p w14:paraId="7A74B3A5" w14:textId="77777777" w:rsidR="009C0BCB" w:rsidRPr="00C33A90" w:rsidRDefault="009C0BCB" w:rsidP="00C33A90">
            <w:pPr>
              <w:pStyle w:val="TableParagraph"/>
              <w:ind w:left="110"/>
              <w:rPr>
                <w:sz w:val="24"/>
                <w:szCs w:val="24"/>
              </w:rPr>
            </w:pPr>
            <w:r w:rsidRPr="00C33A90">
              <w:rPr>
                <w:sz w:val="24"/>
                <w:szCs w:val="24"/>
              </w:rPr>
              <w:t>PBB4B81</w:t>
            </w:r>
          </w:p>
        </w:tc>
        <w:tc>
          <w:tcPr>
            <w:tcW w:w="2013" w:type="dxa"/>
          </w:tcPr>
          <w:p w14:paraId="6A1CACE9" w14:textId="77777777" w:rsidR="009C0BCB" w:rsidRPr="00C33A90" w:rsidRDefault="009C0BCB" w:rsidP="00C33A90">
            <w:pPr>
              <w:pStyle w:val="TableParagraph"/>
              <w:ind w:left="111"/>
              <w:rPr>
                <w:sz w:val="24"/>
                <w:szCs w:val="24"/>
              </w:rPr>
            </w:pPr>
            <w:r w:rsidRPr="00C33A90">
              <w:rPr>
                <w:sz w:val="24"/>
                <w:szCs w:val="24"/>
              </w:rPr>
              <w:t>US26D</w:t>
            </w:r>
          </w:p>
        </w:tc>
      </w:tr>
      <w:tr w:rsidR="009C0BCB" w:rsidRPr="00C33A90" w14:paraId="3DF2CF5C" w14:textId="77777777" w:rsidTr="00114CCE">
        <w:trPr>
          <w:trHeight w:val="291"/>
        </w:trPr>
        <w:tc>
          <w:tcPr>
            <w:tcW w:w="2004" w:type="dxa"/>
            <w:tcBorders>
              <w:bottom w:val="nil"/>
            </w:tcBorders>
          </w:tcPr>
          <w:p w14:paraId="665AB550"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Borders>
              <w:bottom w:val="nil"/>
            </w:tcBorders>
          </w:tcPr>
          <w:p w14:paraId="40EABC77" w14:textId="77777777" w:rsidR="009C0BCB" w:rsidRPr="00C33A90" w:rsidRDefault="009C0BCB" w:rsidP="00C33A90">
            <w:pPr>
              <w:pStyle w:val="TableParagraph"/>
              <w:ind w:left="108"/>
              <w:rPr>
                <w:sz w:val="24"/>
                <w:szCs w:val="24"/>
              </w:rPr>
            </w:pPr>
            <w:r w:rsidRPr="00C33A90">
              <w:rPr>
                <w:sz w:val="24"/>
                <w:szCs w:val="24"/>
              </w:rPr>
              <w:t>Panic Device</w:t>
            </w:r>
          </w:p>
        </w:tc>
        <w:tc>
          <w:tcPr>
            <w:tcW w:w="2020" w:type="dxa"/>
            <w:tcBorders>
              <w:bottom w:val="nil"/>
            </w:tcBorders>
          </w:tcPr>
          <w:p w14:paraId="084D0B7C" w14:textId="77777777" w:rsidR="009C0BCB" w:rsidRPr="00C33A90" w:rsidRDefault="009C0BCB" w:rsidP="00C33A90">
            <w:pPr>
              <w:pStyle w:val="TableParagraph"/>
              <w:ind w:left="109"/>
              <w:rPr>
                <w:sz w:val="24"/>
                <w:szCs w:val="24"/>
              </w:rPr>
            </w:pPr>
            <w:r w:rsidRPr="00C33A90">
              <w:rPr>
                <w:sz w:val="24"/>
                <w:szCs w:val="24"/>
              </w:rPr>
              <w:t>Heavy Duty</w:t>
            </w:r>
          </w:p>
        </w:tc>
        <w:tc>
          <w:tcPr>
            <w:tcW w:w="2032" w:type="dxa"/>
            <w:tcBorders>
              <w:bottom w:val="nil"/>
            </w:tcBorders>
          </w:tcPr>
          <w:p w14:paraId="0EBE36E4" w14:textId="7255DE27" w:rsidR="009C0BCB" w:rsidRPr="00C33A90" w:rsidRDefault="00EC099E" w:rsidP="00C33A90">
            <w:pPr>
              <w:pStyle w:val="TableParagraph"/>
              <w:ind w:left="110"/>
              <w:rPr>
                <w:sz w:val="24"/>
                <w:szCs w:val="24"/>
              </w:rPr>
            </w:pPr>
            <w:r>
              <w:rPr>
                <w:sz w:val="24"/>
                <w:szCs w:val="24"/>
              </w:rPr>
              <w:t>PDQ</w:t>
            </w:r>
          </w:p>
        </w:tc>
        <w:tc>
          <w:tcPr>
            <w:tcW w:w="2013" w:type="dxa"/>
            <w:tcBorders>
              <w:bottom w:val="nil"/>
            </w:tcBorders>
          </w:tcPr>
          <w:p w14:paraId="324C8E10" w14:textId="0B389E48" w:rsidR="009C0BCB" w:rsidRPr="00C33A90" w:rsidRDefault="009C0BCB" w:rsidP="00C33A90">
            <w:pPr>
              <w:pStyle w:val="TableParagraph"/>
              <w:ind w:left="111"/>
              <w:rPr>
                <w:sz w:val="24"/>
                <w:szCs w:val="24"/>
              </w:rPr>
            </w:pPr>
          </w:p>
        </w:tc>
      </w:tr>
      <w:tr w:rsidR="009C0BCB" w:rsidRPr="00C33A90" w14:paraId="502B3F4E" w14:textId="77777777" w:rsidTr="00114CCE">
        <w:trPr>
          <w:trHeight w:val="595"/>
        </w:trPr>
        <w:tc>
          <w:tcPr>
            <w:tcW w:w="2004" w:type="dxa"/>
            <w:tcBorders>
              <w:top w:val="nil"/>
              <w:bottom w:val="nil"/>
            </w:tcBorders>
          </w:tcPr>
          <w:p w14:paraId="2709C434" w14:textId="77777777" w:rsidR="009C0BCB" w:rsidRPr="00C33A90" w:rsidRDefault="009C0BCB" w:rsidP="00C33A90">
            <w:pPr>
              <w:pStyle w:val="TableParagraph"/>
              <w:rPr>
                <w:sz w:val="24"/>
                <w:szCs w:val="24"/>
              </w:rPr>
            </w:pPr>
          </w:p>
        </w:tc>
        <w:tc>
          <w:tcPr>
            <w:tcW w:w="1999" w:type="dxa"/>
            <w:tcBorders>
              <w:top w:val="nil"/>
              <w:bottom w:val="nil"/>
            </w:tcBorders>
          </w:tcPr>
          <w:p w14:paraId="3CB8D92E" w14:textId="77777777" w:rsidR="009C0BCB" w:rsidRPr="00C33A90" w:rsidRDefault="009C0BCB" w:rsidP="00C33A90">
            <w:pPr>
              <w:pStyle w:val="TableParagraph"/>
              <w:rPr>
                <w:sz w:val="24"/>
                <w:szCs w:val="24"/>
              </w:rPr>
            </w:pPr>
          </w:p>
        </w:tc>
        <w:tc>
          <w:tcPr>
            <w:tcW w:w="2020" w:type="dxa"/>
            <w:tcBorders>
              <w:top w:val="nil"/>
              <w:bottom w:val="nil"/>
            </w:tcBorders>
          </w:tcPr>
          <w:p w14:paraId="1A708ED5" w14:textId="77777777" w:rsidR="009C0BCB" w:rsidRPr="00C33A90" w:rsidRDefault="009C0BCB" w:rsidP="00C33A90">
            <w:pPr>
              <w:pStyle w:val="TableParagraph"/>
              <w:spacing w:before="7"/>
              <w:ind w:left="109"/>
              <w:rPr>
                <w:sz w:val="24"/>
                <w:szCs w:val="24"/>
              </w:rPr>
            </w:pPr>
            <w:r w:rsidRPr="00C33A90">
              <w:rPr>
                <w:sz w:val="24"/>
                <w:szCs w:val="24"/>
              </w:rPr>
              <w:t>Touch Bar Panic</w:t>
            </w:r>
          </w:p>
          <w:p w14:paraId="00B473A0" w14:textId="77777777" w:rsidR="009C0BCB" w:rsidRDefault="009C0BCB" w:rsidP="00C33A90">
            <w:pPr>
              <w:pStyle w:val="TableParagraph"/>
              <w:spacing w:before="21"/>
              <w:ind w:left="109"/>
              <w:rPr>
                <w:sz w:val="24"/>
                <w:szCs w:val="24"/>
              </w:rPr>
            </w:pPr>
            <w:r w:rsidRPr="00C33A90">
              <w:rPr>
                <w:sz w:val="24"/>
                <w:szCs w:val="24"/>
              </w:rPr>
              <w:t>with Surface</w:t>
            </w:r>
          </w:p>
          <w:p w14:paraId="6B24420A" w14:textId="2EEDB063" w:rsidR="00114CCE" w:rsidRPr="00C33A90" w:rsidRDefault="00114CCE" w:rsidP="00114CCE">
            <w:pPr>
              <w:pStyle w:val="TableParagraph"/>
              <w:spacing w:before="21"/>
              <w:ind w:left="109"/>
              <w:rPr>
                <w:sz w:val="24"/>
                <w:szCs w:val="24"/>
              </w:rPr>
            </w:pPr>
            <w:r>
              <w:rPr>
                <w:sz w:val="24"/>
                <w:szCs w:val="24"/>
              </w:rPr>
              <w:t>vertical Rods</w:t>
            </w:r>
            <w:r>
              <w:rPr>
                <w:sz w:val="24"/>
                <w:szCs w:val="24"/>
              </w:rPr>
              <w:br/>
            </w:r>
          </w:p>
        </w:tc>
        <w:tc>
          <w:tcPr>
            <w:tcW w:w="2032" w:type="dxa"/>
            <w:tcBorders>
              <w:top w:val="nil"/>
              <w:bottom w:val="nil"/>
            </w:tcBorders>
          </w:tcPr>
          <w:p w14:paraId="69067078" w14:textId="013488B3" w:rsidR="009C0BCB" w:rsidRPr="00C33A90" w:rsidRDefault="00EC099E" w:rsidP="002268A9">
            <w:pPr>
              <w:pStyle w:val="TableParagraph"/>
              <w:spacing w:before="7"/>
              <w:ind w:left="109"/>
              <w:rPr>
                <w:sz w:val="24"/>
                <w:szCs w:val="24"/>
              </w:rPr>
            </w:pPr>
            <w:r w:rsidRPr="00EC099E">
              <w:rPr>
                <w:sz w:val="24"/>
                <w:szCs w:val="24"/>
              </w:rPr>
              <w:t xml:space="preserve">6200V-F-626 </w:t>
            </w:r>
            <w:r w:rsidR="00F31255">
              <w:rPr>
                <w:sz w:val="24"/>
                <w:szCs w:val="24"/>
              </w:rPr>
              <w:br/>
            </w:r>
            <w:r w:rsidRPr="00EC099E">
              <w:rPr>
                <w:sz w:val="24"/>
                <w:szCs w:val="24"/>
              </w:rPr>
              <w:t>6-EW-08-PHL</w:t>
            </w:r>
          </w:p>
        </w:tc>
        <w:tc>
          <w:tcPr>
            <w:tcW w:w="2013" w:type="dxa"/>
            <w:tcBorders>
              <w:top w:val="nil"/>
              <w:bottom w:val="nil"/>
            </w:tcBorders>
          </w:tcPr>
          <w:p w14:paraId="371588BB" w14:textId="77777777" w:rsidR="009C0BCB" w:rsidRPr="00C33A90" w:rsidRDefault="009C0BCB" w:rsidP="00C33A90">
            <w:pPr>
              <w:pStyle w:val="TableParagraph"/>
              <w:rPr>
                <w:sz w:val="24"/>
                <w:szCs w:val="24"/>
              </w:rPr>
            </w:pPr>
          </w:p>
        </w:tc>
      </w:tr>
      <w:tr w:rsidR="009C0BCB" w:rsidRPr="00C33A90" w14:paraId="35142525" w14:textId="77777777" w:rsidTr="00114CCE">
        <w:trPr>
          <w:trHeight w:val="1053"/>
        </w:trPr>
        <w:tc>
          <w:tcPr>
            <w:tcW w:w="2004" w:type="dxa"/>
          </w:tcPr>
          <w:p w14:paraId="4309E65B"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6DD713D0" w14:textId="77777777" w:rsidR="009C0BCB" w:rsidRPr="00C33A90" w:rsidRDefault="009C0BCB" w:rsidP="00C33A90">
            <w:pPr>
              <w:pStyle w:val="TableParagraph"/>
              <w:ind w:left="108"/>
              <w:rPr>
                <w:sz w:val="24"/>
                <w:szCs w:val="24"/>
              </w:rPr>
            </w:pPr>
            <w:r w:rsidRPr="00C33A90">
              <w:rPr>
                <w:sz w:val="24"/>
                <w:szCs w:val="24"/>
              </w:rPr>
              <w:t>Closing Device</w:t>
            </w:r>
          </w:p>
        </w:tc>
        <w:tc>
          <w:tcPr>
            <w:tcW w:w="2020" w:type="dxa"/>
          </w:tcPr>
          <w:p w14:paraId="6F1FFBD6" w14:textId="77777777" w:rsidR="009C0BCB" w:rsidRPr="00C33A90" w:rsidRDefault="009C0BCB" w:rsidP="00C33A90">
            <w:pPr>
              <w:pStyle w:val="TableParagraph"/>
              <w:ind w:left="109" w:right="186"/>
              <w:rPr>
                <w:sz w:val="24"/>
                <w:szCs w:val="24"/>
              </w:rPr>
            </w:pPr>
            <w:r w:rsidRPr="00C33A90">
              <w:rPr>
                <w:sz w:val="24"/>
                <w:szCs w:val="24"/>
              </w:rPr>
              <w:t>Heavy-duty Surface Applied Closer</w:t>
            </w:r>
          </w:p>
        </w:tc>
        <w:tc>
          <w:tcPr>
            <w:tcW w:w="2032" w:type="dxa"/>
          </w:tcPr>
          <w:p w14:paraId="390D2286" w14:textId="77777777" w:rsidR="009C0BCB" w:rsidRPr="00C33A90" w:rsidRDefault="009C0BCB" w:rsidP="00C33A90">
            <w:pPr>
              <w:pStyle w:val="TableParagraph"/>
              <w:ind w:left="110"/>
              <w:rPr>
                <w:sz w:val="24"/>
                <w:szCs w:val="24"/>
              </w:rPr>
            </w:pPr>
            <w:r w:rsidRPr="00C33A90">
              <w:rPr>
                <w:sz w:val="24"/>
                <w:szCs w:val="24"/>
              </w:rPr>
              <w:t>LCN 4040XP</w:t>
            </w:r>
          </w:p>
        </w:tc>
        <w:tc>
          <w:tcPr>
            <w:tcW w:w="2013" w:type="dxa"/>
          </w:tcPr>
          <w:p w14:paraId="47F24A2B" w14:textId="77777777" w:rsidR="009C0BCB" w:rsidRPr="00C33A90" w:rsidRDefault="009C0BCB" w:rsidP="00C33A90">
            <w:pPr>
              <w:pStyle w:val="TableParagraph"/>
              <w:ind w:left="111"/>
              <w:rPr>
                <w:sz w:val="24"/>
                <w:szCs w:val="24"/>
              </w:rPr>
            </w:pPr>
            <w:r w:rsidRPr="00C33A90">
              <w:rPr>
                <w:sz w:val="24"/>
                <w:szCs w:val="24"/>
              </w:rPr>
              <w:t>Aluminum</w:t>
            </w:r>
          </w:p>
        </w:tc>
      </w:tr>
      <w:tr w:rsidR="009C0BCB" w:rsidRPr="00C33A90" w14:paraId="080A07A1" w14:textId="77777777" w:rsidTr="00114CCE">
        <w:trPr>
          <w:trHeight w:val="755"/>
        </w:trPr>
        <w:tc>
          <w:tcPr>
            <w:tcW w:w="2004" w:type="dxa"/>
          </w:tcPr>
          <w:p w14:paraId="60E1C7E4"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50BE72A8" w14:textId="77777777" w:rsidR="009C0BCB" w:rsidRPr="00C33A90" w:rsidRDefault="009C0BCB" w:rsidP="00C33A90">
            <w:pPr>
              <w:pStyle w:val="TableParagraph"/>
              <w:ind w:left="108" w:right="780"/>
              <w:rPr>
                <w:sz w:val="24"/>
                <w:szCs w:val="24"/>
              </w:rPr>
            </w:pPr>
            <w:r w:rsidRPr="00C33A90">
              <w:rPr>
                <w:sz w:val="24"/>
                <w:szCs w:val="24"/>
              </w:rPr>
              <w:t>Auto Door Bottoms</w:t>
            </w:r>
          </w:p>
        </w:tc>
        <w:tc>
          <w:tcPr>
            <w:tcW w:w="2020" w:type="dxa"/>
          </w:tcPr>
          <w:p w14:paraId="35418866" w14:textId="77777777" w:rsidR="009C0BCB" w:rsidRPr="00C33A90" w:rsidRDefault="009C0BCB" w:rsidP="00C33A90">
            <w:pPr>
              <w:pStyle w:val="TableParagraph"/>
              <w:ind w:left="109"/>
              <w:rPr>
                <w:sz w:val="24"/>
                <w:szCs w:val="24"/>
              </w:rPr>
            </w:pPr>
            <w:r w:rsidRPr="00C33A90">
              <w:rPr>
                <w:sz w:val="24"/>
                <w:szCs w:val="24"/>
              </w:rPr>
              <w:t>420APKL</w:t>
            </w:r>
          </w:p>
        </w:tc>
        <w:tc>
          <w:tcPr>
            <w:tcW w:w="2032" w:type="dxa"/>
          </w:tcPr>
          <w:p w14:paraId="2E1A8414" w14:textId="77777777" w:rsidR="009C0BCB" w:rsidRPr="00C33A90" w:rsidRDefault="009C0BCB" w:rsidP="00C33A90">
            <w:pPr>
              <w:pStyle w:val="TableParagraph"/>
              <w:ind w:left="110"/>
              <w:rPr>
                <w:sz w:val="24"/>
                <w:szCs w:val="24"/>
              </w:rPr>
            </w:pPr>
            <w:r w:rsidRPr="00C33A90">
              <w:rPr>
                <w:sz w:val="24"/>
                <w:szCs w:val="24"/>
              </w:rPr>
              <w:t>Pemko</w:t>
            </w:r>
          </w:p>
        </w:tc>
        <w:tc>
          <w:tcPr>
            <w:tcW w:w="2013" w:type="dxa"/>
          </w:tcPr>
          <w:p w14:paraId="4A49B0A2" w14:textId="77777777" w:rsidR="009C0BCB" w:rsidRPr="00C33A90" w:rsidRDefault="009C0BCB" w:rsidP="00C33A90">
            <w:pPr>
              <w:pStyle w:val="TableParagraph"/>
              <w:rPr>
                <w:sz w:val="24"/>
                <w:szCs w:val="24"/>
              </w:rPr>
            </w:pPr>
          </w:p>
        </w:tc>
      </w:tr>
    </w:tbl>
    <w:p w14:paraId="03D357A0" w14:textId="77777777" w:rsidR="00CC4E82" w:rsidRPr="00C33A90" w:rsidRDefault="00CC4E82" w:rsidP="00C33A90">
      <w:pPr>
        <w:spacing w:after="0" w:line="240" w:lineRule="auto"/>
        <w:rPr>
          <w:rFonts w:ascii="Arial" w:hAnsi="Arial" w:cs="Arial"/>
          <w:b/>
          <w:sz w:val="24"/>
          <w:szCs w:val="24"/>
        </w:rPr>
      </w:pPr>
    </w:p>
    <w:p w14:paraId="5DD54813" w14:textId="77777777" w:rsidR="00F009C5" w:rsidRPr="00C33A90" w:rsidRDefault="00F009C5" w:rsidP="00C33A90">
      <w:pPr>
        <w:spacing w:after="0" w:line="240" w:lineRule="auto"/>
        <w:rPr>
          <w:rFonts w:ascii="Arial" w:hAnsi="Arial" w:cs="Arial"/>
          <w:b/>
          <w:sz w:val="24"/>
          <w:szCs w:val="24"/>
        </w:rPr>
      </w:pPr>
    </w:p>
    <w:p w14:paraId="5A3AEE8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3 EXECUTION</w:t>
      </w:r>
    </w:p>
    <w:p w14:paraId="21DD5A8E" w14:textId="77777777" w:rsidR="00CC4E82" w:rsidRPr="00C33A90" w:rsidRDefault="00CC4E82" w:rsidP="00C33A90">
      <w:pPr>
        <w:spacing w:after="0" w:line="240" w:lineRule="auto"/>
        <w:rPr>
          <w:rFonts w:ascii="Arial" w:hAnsi="Arial" w:cs="Arial"/>
          <w:sz w:val="24"/>
          <w:szCs w:val="24"/>
        </w:rPr>
      </w:pPr>
    </w:p>
    <w:p w14:paraId="43E7C530"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3.01</w:t>
      </w:r>
      <w:r w:rsidRPr="00C33A90">
        <w:rPr>
          <w:rFonts w:ascii="Arial" w:hAnsi="Arial" w:cs="Arial"/>
          <w:sz w:val="24"/>
          <w:szCs w:val="24"/>
          <w:u w:val="single"/>
        </w:rPr>
        <w:tab/>
        <w:t>MANUFACTURER’S INSTRUCTIONS</w:t>
      </w:r>
    </w:p>
    <w:p w14:paraId="2D84A6D8" w14:textId="77777777" w:rsidR="00CC4E82" w:rsidRPr="00C33A90" w:rsidRDefault="00CC4E82" w:rsidP="00C33A90">
      <w:pPr>
        <w:spacing w:after="0" w:line="240" w:lineRule="auto"/>
        <w:rPr>
          <w:rFonts w:ascii="Arial" w:hAnsi="Arial" w:cs="Arial"/>
          <w:sz w:val="24"/>
          <w:szCs w:val="24"/>
        </w:rPr>
      </w:pPr>
    </w:p>
    <w:p w14:paraId="55016F3B" w14:textId="77777777" w:rsidR="00CC4E82" w:rsidRPr="00C33A90" w:rsidRDefault="00CC4E82" w:rsidP="00C33A90">
      <w:pPr>
        <w:pStyle w:val="ListParagraph"/>
        <w:numPr>
          <w:ilvl w:val="0"/>
          <w:numId w:val="31"/>
        </w:numPr>
        <w:spacing w:after="0" w:line="240" w:lineRule="auto"/>
        <w:rPr>
          <w:rFonts w:ascii="Arial" w:hAnsi="Arial" w:cs="Arial"/>
          <w:sz w:val="24"/>
          <w:szCs w:val="24"/>
        </w:rPr>
      </w:pPr>
      <w:r w:rsidRPr="00C33A90">
        <w:rPr>
          <w:rFonts w:ascii="Arial" w:hAnsi="Arial" w:cs="Arial"/>
          <w:sz w:val="24"/>
          <w:szCs w:val="24"/>
        </w:rPr>
        <w:t>Compliance: Comply with manufacturer’s product data including product technical bulletins and installation instructions.</w:t>
      </w:r>
    </w:p>
    <w:p w14:paraId="3314FE34" w14:textId="77777777" w:rsidR="00CC4E82" w:rsidRPr="00C33A90" w:rsidRDefault="00CC4E82" w:rsidP="00C33A90">
      <w:pPr>
        <w:spacing w:after="0" w:line="240" w:lineRule="auto"/>
        <w:rPr>
          <w:rFonts w:ascii="Arial" w:hAnsi="Arial" w:cs="Arial"/>
          <w:sz w:val="24"/>
          <w:szCs w:val="24"/>
        </w:rPr>
      </w:pPr>
    </w:p>
    <w:p w14:paraId="4768ED9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3.02</w:t>
      </w:r>
      <w:r w:rsidRPr="00C33A90">
        <w:rPr>
          <w:rFonts w:ascii="Arial" w:hAnsi="Arial" w:cs="Arial"/>
          <w:sz w:val="24"/>
          <w:szCs w:val="24"/>
          <w:u w:val="single"/>
        </w:rPr>
        <w:tab/>
        <w:t>EXAMINATION</w:t>
      </w:r>
    </w:p>
    <w:p w14:paraId="1F6F14B2"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0379A08C" w14:textId="77777777" w:rsidR="00CC4E82" w:rsidRPr="00C33A90" w:rsidRDefault="00CC4E82" w:rsidP="00C33A90">
      <w:pPr>
        <w:pStyle w:val="ListParagraph"/>
        <w:numPr>
          <w:ilvl w:val="0"/>
          <w:numId w:val="2"/>
        </w:numPr>
        <w:spacing w:after="0" w:line="240" w:lineRule="auto"/>
        <w:rPr>
          <w:rFonts w:ascii="Arial" w:hAnsi="Arial" w:cs="Arial"/>
          <w:sz w:val="24"/>
          <w:szCs w:val="24"/>
        </w:rPr>
      </w:pPr>
      <w:r w:rsidRPr="00C33A9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6C10D0F5" w14:textId="77777777" w:rsidR="00CC4E82" w:rsidRPr="00C33A90" w:rsidRDefault="00CC4E82" w:rsidP="00C33A90">
      <w:pPr>
        <w:spacing w:after="0" w:line="240" w:lineRule="auto"/>
        <w:rPr>
          <w:rFonts w:ascii="Arial" w:hAnsi="Arial" w:cs="Arial"/>
          <w:sz w:val="24"/>
          <w:szCs w:val="24"/>
        </w:rPr>
      </w:pPr>
    </w:p>
    <w:p w14:paraId="5C2D266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3.03</w:t>
      </w:r>
      <w:r w:rsidRPr="00C33A90">
        <w:rPr>
          <w:rFonts w:ascii="Arial" w:hAnsi="Arial" w:cs="Arial"/>
          <w:sz w:val="24"/>
          <w:szCs w:val="24"/>
          <w:u w:val="single"/>
        </w:rPr>
        <w:tab/>
        <w:t>INSTALLATION</w:t>
      </w:r>
    </w:p>
    <w:p w14:paraId="4B2686A5" w14:textId="77777777" w:rsidR="00CC4E82" w:rsidRPr="00C33A90" w:rsidRDefault="00CC4E82" w:rsidP="00C33A90">
      <w:pPr>
        <w:spacing w:after="0" w:line="240" w:lineRule="auto"/>
        <w:rPr>
          <w:rFonts w:ascii="Arial" w:hAnsi="Arial" w:cs="Arial"/>
          <w:sz w:val="24"/>
          <w:szCs w:val="24"/>
        </w:rPr>
      </w:pPr>
    </w:p>
    <w:p w14:paraId="20084A40" w14:textId="77777777" w:rsidR="00CC4E82" w:rsidRPr="00C33A90" w:rsidRDefault="00CC4E82" w:rsidP="00C33A90">
      <w:pPr>
        <w:pStyle w:val="ListParagraph"/>
        <w:numPr>
          <w:ilvl w:val="0"/>
          <w:numId w:val="3"/>
        </w:numPr>
        <w:spacing w:after="0" w:line="240" w:lineRule="auto"/>
        <w:rPr>
          <w:rFonts w:ascii="Arial" w:hAnsi="Arial" w:cs="Arial"/>
          <w:sz w:val="24"/>
          <w:szCs w:val="24"/>
        </w:rPr>
      </w:pPr>
      <w:r w:rsidRPr="00C33A90">
        <w:rPr>
          <w:rFonts w:ascii="Arial" w:hAnsi="Arial" w:cs="Arial"/>
          <w:sz w:val="24"/>
          <w:szCs w:val="24"/>
        </w:rPr>
        <w:t>Fire door/window installation shall be by a licensed contractor and in strict accordance with the approved shop drawings.</w:t>
      </w:r>
    </w:p>
    <w:p w14:paraId="791538B6" w14:textId="77777777" w:rsidR="00CC4E82" w:rsidRPr="00C33A90" w:rsidRDefault="00CC4E82" w:rsidP="00C33A90">
      <w:pPr>
        <w:spacing w:after="0" w:line="240" w:lineRule="auto"/>
        <w:rPr>
          <w:rFonts w:ascii="Arial" w:hAnsi="Arial" w:cs="Arial"/>
          <w:sz w:val="24"/>
          <w:szCs w:val="24"/>
        </w:rPr>
      </w:pPr>
    </w:p>
    <w:p w14:paraId="3E2D988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3.04</w:t>
      </w:r>
      <w:r w:rsidRPr="00C33A90">
        <w:rPr>
          <w:rFonts w:ascii="Arial" w:hAnsi="Arial" w:cs="Arial"/>
          <w:sz w:val="24"/>
          <w:szCs w:val="24"/>
          <w:u w:val="single"/>
        </w:rPr>
        <w:tab/>
        <w:t>CLEANING AND PROTECTION</w:t>
      </w:r>
    </w:p>
    <w:p w14:paraId="76422B91" w14:textId="77777777" w:rsidR="00CC4E82" w:rsidRPr="00C33A90" w:rsidRDefault="00CC4E82" w:rsidP="00C33A90">
      <w:pPr>
        <w:spacing w:after="0" w:line="240" w:lineRule="auto"/>
        <w:rPr>
          <w:rFonts w:ascii="Arial" w:hAnsi="Arial" w:cs="Arial"/>
          <w:sz w:val="24"/>
          <w:szCs w:val="24"/>
        </w:rPr>
      </w:pPr>
    </w:p>
    <w:p w14:paraId="638E4B6A"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Protect glass from contact with contaminating substances resulting from construction operations. Remove such substances by method approved by manufacturer.</w:t>
      </w:r>
    </w:p>
    <w:p w14:paraId="64F01785" w14:textId="77777777" w:rsidR="00CC4E82" w:rsidRPr="00C33A90" w:rsidRDefault="00CC4E82" w:rsidP="00C33A90">
      <w:pPr>
        <w:spacing w:after="0" w:line="240" w:lineRule="auto"/>
        <w:rPr>
          <w:rFonts w:ascii="Arial" w:hAnsi="Arial" w:cs="Arial"/>
          <w:sz w:val="24"/>
          <w:szCs w:val="24"/>
        </w:rPr>
      </w:pPr>
    </w:p>
    <w:p w14:paraId="69C32660"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EA421A3" w14:textId="77777777" w:rsidR="00CC4E82" w:rsidRPr="00C33A90" w:rsidRDefault="00CC4E82" w:rsidP="00C33A90">
      <w:pPr>
        <w:spacing w:after="0" w:line="240" w:lineRule="auto"/>
        <w:rPr>
          <w:rFonts w:ascii="Arial" w:hAnsi="Arial" w:cs="Arial"/>
          <w:sz w:val="24"/>
          <w:szCs w:val="24"/>
        </w:rPr>
      </w:pPr>
    </w:p>
    <w:p w14:paraId="79AB7893"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temporary coverings and protection of adjacent work areas.</w:t>
      </w:r>
    </w:p>
    <w:p w14:paraId="423DA41A" w14:textId="77777777" w:rsidR="00CC4E82" w:rsidRPr="00C33A90" w:rsidRDefault="00CC4E82" w:rsidP="00C33A90">
      <w:pPr>
        <w:spacing w:after="0" w:line="240" w:lineRule="auto"/>
        <w:rPr>
          <w:rFonts w:ascii="Arial" w:hAnsi="Arial" w:cs="Arial"/>
          <w:sz w:val="24"/>
          <w:szCs w:val="24"/>
        </w:rPr>
      </w:pPr>
    </w:p>
    <w:p w14:paraId="51CD474C"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construction debris from project site and legally dispose of debris.</w:t>
      </w:r>
    </w:p>
    <w:p w14:paraId="4B34FDE2" w14:textId="77777777" w:rsidR="009C0BCB" w:rsidRPr="00C33A90" w:rsidRDefault="009C0BCB" w:rsidP="00C33A90">
      <w:pPr>
        <w:spacing w:after="0" w:line="240" w:lineRule="auto"/>
        <w:rPr>
          <w:rFonts w:ascii="Arial" w:hAnsi="Arial" w:cs="Arial"/>
          <w:sz w:val="24"/>
          <w:szCs w:val="24"/>
        </w:rPr>
      </w:pPr>
    </w:p>
    <w:p w14:paraId="4AFCA7AF" w14:textId="77777777" w:rsidR="00CC4E82"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END OF SECTION</w:t>
      </w:r>
      <w:r w:rsidR="00C33A90">
        <w:rPr>
          <w:rFonts w:ascii="Arial" w:hAnsi="Arial" w:cs="Arial"/>
          <w:b/>
          <w:sz w:val="24"/>
          <w:szCs w:val="24"/>
        </w:rPr>
        <w:t xml:space="preserve"> </w:t>
      </w:r>
    </w:p>
    <w:p w14:paraId="59B9C395" w14:textId="77777777" w:rsidR="00C33A90" w:rsidRPr="00C33A90" w:rsidRDefault="00C33A90" w:rsidP="00C33A90">
      <w:pPr>
        <w:spacing w:after="0" w:line="240" w:lineRule="auto"/>
        <w:jc w:val="center"/>
        <w:rPr>
          <w:rFonts w:ascii="Arial" w:hAnsi="Arial" w:cs="Arial"/>
          <w:b/>
          <w:sz w:val="24"/>
          <w:szCs w:val="24"/>
        </w:rPr>
      </w:pPr>
    </w:p>
    <w:p w14:paraId="46911142" w14:textId="5EC46BD2" w:rsidR="00C33A90" w:rsidRDefault="00C33A90" w:rsidP="00C33A9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9355C0">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14:paraId="464FDA8E" w14:textId="77777777" w:rsidR="00C33A90" w:rsidRDefault="00C33A90" w:rsidP="00C33A90">
      <w:pPr>
        <w:pStyle w:val="Title"/>
        <w:spacing w:line="240" w:lineRule="auto"/>
        <w:jc w:val="left"/>
        <w:rPr>
          <w:rFonts w:ascii="Arial" w:hAnsi="Arial" w:cs="Arial"/>
          <w:b w:val="0"/>
          <w:i/>
          <w:iCs/>
          <w:sz w:val="22"/>
        </w:rPr>
      </w:pPr>
    </w:p>
    <w:p w14:paraId="008061AA" w14:textId="70A2DEC1" w:rsidR="00C33A90" w:rsidRPr="00A3380E" w:rsidRDefault="009355C0" w:rsidP="00C33A90">
      <w:pPr>
        <w:spacing w:before="1"/>
        <w:ind w:left="100"/>
        <w:rPr>
          <w:rFonts w:ascii="Arial" w:hAnsi="Arial" w:cs="Arial"/>
          <w:i/>
          <w:sz w:val="16"/>
        </w:rPr>
      </w:pPr>
      <w:r>
        <w:rPr>
          <w:rFonts w:ascii="Arial" w:hAnsi="Arial" w:cs="Arial"/>
          <w:i/>
          <w:sz w:val="16"/>
        </w:rPr>
        <w:t>Last updated April 2022</w:t>
      </w:r>
      <w:r w:rsidR="00C33A90" w:rsidRPr="00A3380E">
        <w:rPr>
          <w:rFonts w:ascii="Arial" w:hAnsi="Arial" w:cs="Arial"/>
          <w:i/>
          <w:sz w:val="16"/>
        </w:rPr>
        <w:t>.</w:t>
      </w:r>
    </w:p>
    <w:p w14:paraId="582F75B2" w14:textId="77777777" w:rsidR="00E07406" w:rsidRPr="00C33A90" w:rsidRDefault="00600C58" w:rsidP="00C33A90">
      <w:pPr>
        <w:spacing w:after="0" w:line="240" w:lineRule="auto"/>
        <w:rPr>
          <w:rFonts w:ascii="Arial" w:hAnsi="Arial" w:cs="Arial"/>
          <w:sz w:val="24"/>
          <w:szCs w:val="24"/>
        </w:rPr>
      </w:pPr>
    </w:p>
    <w:sectPr w:rsidR="00E07406" w:rsidRPr="00C33A90" w:rsidSect="00C33A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5382" w14:textId="77777777" w:rsidR="00600C58" w:rsidRDefault="00600C58" w:rsidP="009C0BCB">
      <w:pPr>
        <w:spacing w:after="0" w:line="240" w:lineRule="auto"/>
      </w:pPr>
      <w:r>
        <w:separator/>
      </w:r>
    </w:p>
  </w:endnote>
  <w:endnote w:type="continuationSeparator" w:id="0">
    <w:p w14:paraId="4917AE30" w14:textId="77777777" w:rsidR="00600C58" w:rsidRDefault="00600C58" w:rsidP="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08716"/>
      <w:docPartObj>
        <w:docPartGallery w:val="Page Numbers (Bottom of Page)"/>
        <w:docPartUnique/>
      </w:docPartObj>
    </w:sdtPr>
    <w:sdtEndPr>
      <w:rPr>
        <w:noProof/>
      </w:rPr>
    </w:sdtEndPr>
    <w:sdtContent>
      <w:p w14:paraId="06CD388E" w14:textId="4E136A45" w:rsidR="009C0BCB" w:rsidRDefault="00C33A90">
        <w:pPr>
          <w:pStyle w:val="Footer"/>
          <w:jc w:val="right"/>
        </w:pPr>
        <w:r>
          <w:t xml:space="preserve">08 11 03 - </w:t>
        </w:r>
        <w:r w:rsidR="009C0BCB">
          <w:fldChar w:fldCharType="begin"/>
        </w:r>
        <w:r w:rsidR="009C0BCB">
          <w:instrText xml:space="preserve"> PAGE   \* MERGEFORMAT </w:instrText>
        </w:r>
        <w:r w:rsidR="009C0BCB">
          <w:fldChar w:fldCharType="separate"/>
        </w:r>
        <w:r w:rsidR="00600C58">
          <w:rPr>
            <w:noProof/>
          </w:rPr>
          <w:t>1</w:t>
        </w:r>
        <w:r w:rsidR="009C0BCB">
          <w:rPr>
            <w:noProof/>
          </w:rPr>
          <w:fldChar w:fldCharType="end"/>
        </w:r>
      </w:p>
    </w:sdtContent>
  </w:sdt>
  <w:p w14:paraId="09FF62A6" w14:textId="77777777" w:rsidR="009C0BCB" w:rsidRDefault="009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CB66" w14:textId="77777777" w:rsidR="00600C58" w:rsidRDefault="00600C58" w:rsidP="009C0BCB">
      <w:pPr>
        <w:spacing w:after="0" w:line="240" w:lineRule="auto"/>
      </w:pPr>
      <w:r>
        <w:separator/>
      </w:r>
    </w:p>
  </w:footnote>
  <w:footnote w:type="continuationSeparator" w:id="0">
    <w:p w14:paraId="5B9D9A60" w14:textId="77777777" w:rsidR="00600C58" w:rsidRDefault="00600C58" w:rsidP="009C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3C84EA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DA2C82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2"/>
    <w:rsid w:val="00114CCE"/>
    <w:rsid w:val="002268A9"/>
    <w:rsid w:val="0035423C"/>
    <w:rsid w:val="003E7927"/>
    <w:rsid w:val="0055727A"/>
    <w:rsid w:val="005D7946"/>
    <w:rsid w:val="00600C58"/>
    <w:rsid w:val="00663855"/>
    <w:rsid w:val="009355C0"/>
    <w:rsid w:val="009C0BCB"/>
    <w:rsid w:val="00A4495A"/>
    <w:rsid w:val="00C33A90"/>
    <w:rsid w:val="00CB238F"/>
    <w:rsid w:val="00CC4E82"/>
    <w:rsid w:val="00D36765"/>
    <w:rsid w:val="00D469E8"/>
    <w:rsid w:val="00EC099E"/>
    <w:rsid w:val="00F009C5"/>
    <w:rsid w:val="00F05628"/>
    <w:rsid w:val="00F3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8B83"/>
  <w15:chartTrackingRefBased/>
  <w15:docId w15:val="{04E4B854-45C6-4681-94F8-4369206C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82"/>
    <w:pPr>
      <w:ind w:left="720"/>
      <w:contextualSpacing/>
    </w:pPr>
  </w:style>
  <w:style w:type="character" w:styleId="Hyperlink">
    <w:name w:val="Hyperlink"/>
    <w:rsid w:val="00CC4E82"/>
    <w:rPr>
      <w:color w:val="0000FF"/>
      <w:u w:val="single"/>
    </w:rPr>
  </w:style>
  <w:style w:type="paragraph" w:customStyle="1" w:styleId="TableParagraph">
    <w:name w:val="Table Paragraph"/>
    <w:basedOn w:val="Normal"/>
    <w:uiPriority w:val="1"/>
    <w:qFormat/>
    <w:rsid w:val="009C0BC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C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B"/>
  </w:style>
  <w:style w:type="paragraph" w:styleId="Footer">
    <w:name w:val="footer"/>
    <w:basedOn w:val="Normal"/>
    <w:link w:val="FooterChar"/>
    <w:uiPriority w:val="99"/>
    <w:unhideWhenUsed/>
    <w:rsid w:val="009C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B"/>
  </w:style>
  <w:style w:type="paragraph" w:styleId="Title">
    <w:name w:val="Title"/>
    <w:basedOn w:val="Normal"/>
    <w:link w:val="TitleChar"/>
    <w:qFormat/>
    <w:rsid w:val="00C33A90"/>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3A90"/>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s://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2022-04-15T01:48:00Z</dcterms:created>
  <dcterms:modified xsi:type="dcterms:W3CDTF">2022-04-15T01:50:00Z</dcterms:modified>
  <cp:contentStatus/>
</cp:coreProperties>
</file>